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93" w:rsidRDefault="00AC1D93" w:rsidP="00AC1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4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62731D">
        <w:rPr>
          <w:b/>
          <w:smallCaps/>
          <w:noProof/>
          <w:sz w:val="16"/>
        </w:rPr>
        <w:drawing>
          <wp:inline distT="0" distB="0" distL="0" distR="0">
            <wp:extent cx="6724650" cy="62865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right"/>
        <w:rPr>
          <w:rFonts w:ascii="Garamond" w:hAnsi="Garamond" w:cstheme="minorHAnsi"/>
          <w:b/>
        </w:rPr>
      </w:pPr>
      <w:r w:rsidRPr="0078563D">
        <w:rPr>
          <w:rFonts w:ascii="Garamond" w:hAnsi="Garamond" w:cstheme="minorHAnsi"/>
          <w:b/>
          <w:u w:val="single"/>
        </w:rPr>
        <w:t xml:space="preserve">Załącznik nr </w:t>
      </w:r>
      <w:r w:rsidR="000B3778">
        <w:rPr>
          <w:rFonts w:ascii="Garamond" w:hAnsi="Garamond" w:cstheme="minorHAnsi"/>
          <w:b/>
          <w:u w:val="single"/>
        </w:rPr>
        <w:t>1.2</w:t>
      </w:r>
      <w:r w:rsidRPr="0078563D">
        <w:rPr>
          <w:rFonts w:ascii="Garamond" w:hAnsi="Garamond" w:cstheme="minorHAnsi"/>
          <w:b/>
          <w:u w:val="single"/>
        </w:rPr>
        <w:t xml:space="preserve"> do SWZ</w:t>
      </w:r>
    </w:p>
    <w:p w:rsidR="00B1322B" w:rsidRP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Garamond" w:eastAsia="Verdana" w:hAnsi="Garamond" w:cstheme="minorHAnsi"/>
          <w:color w:val="000000"/>
          <w:sz w:val="24"/>
          <w:szCs w:val="24"/>
        </w:rPr>
      </w:pPr>
      <w:r w:rsidRPr="0078563D">
        <w:rPr>
          <w:rFonts w:ascii="Garamond" w:hAnsi="Garamond" w:cstheme="minorHAnsi"/>
          <w:b/>
        </w:rPr>
        <w:t>FORMULARZ ASORTYMENTOWO-CENOWY</w:t>
      </w:r>
    </w:p>
    <w:p w:rsidR="00B1322B" w:rsidRPr="0078563D" w:rsidRDefault="00B1322B" w:rsidP="3FED9429">
      <w:pPr>
        <w:rPr>
          <w:rFonts w:ascii="Garamond" w:eastAsia="Verdana" w:hAnsi="Garamond" w:cstheme="minorHAnsi"/>
          <w:b/>
          <w:bCs/>
          <w:i/>
          <w:iCs/>
          <w:sz w:val="16"/>
          <w:szCs w:val="16"/>
        </w:rPr>
      </w:pPr>
    </w:p>
    <w:p w:rsidR="00AC1D93" w:rsidRPr="0078563D" w:rsidRDefault="00D73C2B" w:rsidP="00AC1D93">
      <w:p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Nr postępowania:  2/2026/DZP/IT</w:t>
      </w:r>
      <w:r w:rsidR="00AC1D93" w:rsidRPr="0078563D">
        <w:rPr>
          <w:rFonts w:ascii="Garamond" w:hAnsi="Garamond" w:cstheme="minorHAnsi"/>
        </w:rPr>
        <w:t xml:space="preserve"> – ZADANIE </w:t>
      </w:r>
      <w:r w:rsidR="000B3778">
        <w:rPr>
          <w:rFonts w:ascii="Garamond" w:hAnsi="Garamond" w:cstheme="minorHAnsi"/>
        </w:rPr>
        <w:t>2</w:t>
      </w:r>
    </w:p>
    <w:p w:rsidR="00AC1D93" w:rsidRPr="0078563D" w:rsidRDefault="0078563D" w:rsidP="0078563D">
      <w:pPr>
        <w:pStyle w:val="Tekstpodstawowy2"/>
        <w:tabs>
          <w:tab w:val="left" w:pos="360"/>
        </w:tabs>
        <w:spacing w:after="120" w:line="240" w:lineRule="auto"/>
        <w:jc w:val="left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>Dane Wykonawcy</w:t>
      </w:r>
      <w:r w:rsidR="00AC1D93" w:rsidRPr="0078563D">
        <w:rPr>
          <w:rFonts w:ascii="Garamond" w:hAnsi="Garamond" w:cstheme="minorHAnsi"/>
          <w:b/>
        </w:rPr>
        <w:t>:</w:t>
      </w:r>
    </w:p>
    <w:p w:rsidR="00B1322B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Default="0078563D">
      <w:pPr>
        <w:rPr>
          <w:rFonts w:ascii="Garamond" w:hAnsi="Garamond" w:cstheme="minorHAnsi"/>
          <w:b/>
        </w:rPr>
      </w:pPr>
    </w:p>
    <w:tbl>
      <w:tblPr>
        <w:tblW w:w="14307" w:type="dxa"/>
        <w:jc w:val="center"/>
        <w:tblLayout w:type="fixed"/>
        <w:tblLook w:val="04A0"/>
      </w:tblPr>
      <w:tblGrid>
        <w:gridCol w:w="557"/>
        <w:gridCol w:w="2977"/>
        <w:gridCol w:w="2410"/>
        <w:gridCol w:w="1123"/>
        <w:gridCol w:w="1570"/>
        <w:gridCol w:w="955"/>
        <w:gridCol w:w="1313"/>
        <w:gridCol w:w="1560"/>
        <w:gridCol w:w="1842"/>
      </w:tblGrid>
      <w:tr w:rsidR="00AF4ECC" w:rsidRPr="0088103E" w:rsidTr="002E4F7A">
        <w:trPr>
          <w:trHeight w:val="148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Nazwa zadania projektu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Ilość (sztuk/</w:t>
            </w:r>
          </w:p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z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estawów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</w:t>
            </w:r>
          </w:p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kompletów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Cena jednostkowa netto za 1 szt. /zestaw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 komplet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Stawka podatku VAT </w:t>
            </w:r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netto</w:t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4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podatku VAT</w:t>
            </w:r>
            <w:r w:rsidRPr="0088103E">
              <w:br/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Wartość brutto (kol.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+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8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</w:tr>
      <w:tr w:rsidR="00AF4ECC" w:rsidRPr="0088103E" w:rsidTr="002E4F7A">
        <w:trPr>
          <w:trHeight w:val="3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F4ECC" w:rsidRPr="0088103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88103E" w:rsidRDefault="00AF4ECC" w:rsidP="00AF4ECC">
            <w:pPr>
              <w:spacing w:after="0"/>
              <w:jc w:val="center"/>
            </w:pPr>
            <w:r>
              <w:t>9</w:t>
            </w:r>
          </w:p>
        </w:tc>
      </w:tr>
      <w:tr w:rsidR="00AF4ECC" w:rsidRPr="00F2205E" w:rsidTr="002E4F7A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F4ECC" w:rsidRPr="006C6859" w:rsidRDefault="00AF4ECC" w:rsidP="00AF4ECC">
            <w:pPr>
              <w:jc w:val="center"/>
              <w:rPr>
                <w:rFonts w:ascii="Garamond" w:hAnsi="Garamond" w:cstheme="minorHAnsi"/>
              </w:rPr>
            </w:pPr>
            <w:r w:rsidRPr="006C6859">
              <w:rPr>
                <w:rFonts w:ascii="Garamond" w:hAnsi="Garamond" w:cstheme="minorHAnsi"/>
              </w:rPr>
              <w:t>1.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7E2F4A" w:rsidRDefault="00AF4ECC" w:rsidP="002E4F7A">
            <w:pPr>
              <w:pStyle w:val="Punktparagrafu"/>
              <w:autoSpaceDN w:val="0"/>
              <w:spacing w:before="60" w:after="60"/>
              <w:ind w:left="0"/>
              <w:rPr>
                <w:rFonts w:ascii="Garamond" w:eastAsia="Times New Roman" w:hAnsi="Garamond"/>
                <w:b/>
                <w:bCs/>
                <w:sz w:val="22"/>
                <w:szCs w:val="22"/>
                <w:lang w:eastAsia="en-US"/>
              </w:rPr>
            </w:pPr>
            <w:r w:rsidRPr="007E2F4A">
              <w:rPr>
                <w:rFonts w:ascii="Garamond" w:hAnsi="Garamond"/>
                <w:b/>
                <w:sz w:val="22"/>
                <w:szCs w:val="22"/>
              </w:rPr>
              <w:t>Integracja z P1 – wsparcie  digitalizacji  dokumentacji medycznej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AF4ECC" w:rsidRPr="002E4F7A" w:rsidRDefault="002E4F7A" w:rsidP="002E4F7A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E4F7A">
              <w:rPr>
                <w:rFonts w:ascii="Garamond" w:hAnsi="Garamond"/>
                <w:sz w:val="20"/>
                <w:szCs w:val="20"/>
              </w:rPr>
              <w:t>Digitalizacja dokumentacji medycznej istotnej z punktu widzenia leczenia i profilaktyk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D4F0F" w:rsidRDefault="00AF4ECC" w:rsidP="00AF4ECC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AF4ECC" w:rsidRPr="00F2205E" w:rsidTr="002E4F7A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F4ECC" w:rsidRPr="006C6859" w:rsidRDefault="002E4F7A" w:rsidP="00AF4ECC">
            <w:pPr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7E2F4A" w:rsidRDefault="002E4F7A" w:rsidP="002E4F7A">
            <w:pPr>
              <w:pStyle w:val="Punktparagrafu"/>
              <w:autoSpaceDN w:val="0"/>
              <w:spacing w:before="60" w:after="60"/>
              <w:ind w:left="0"/>
              <w:rPr>
                <w:rFonts w:ascii="Garamond" w:eastAsia="Times New Roman" w:hAnsi="Garamond"/>
                <w:b/>
                <w:bCs/>
                <w:sz w:val="22"/>
                <w:szCs w:val="22"/>
                <w:lang w:eastAsia="en-US"/>
              </w:rPr>
            </w:pPr>
            <w:r w:rsidRPr="007E2F4A">
              <w:rPr>
                <w:rFonts w:ascii="Garamond" w:hAnsi="Garamond"/>
                <w:b/>
                <w:sz w:val="22"/>
                <w:szCs w:val="22"/>
              </w:rPr>
              <w:t>EDM – nowe dokumenty ustawowe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AF4ECC" w:rsidRPr="00FD4F0F" w:rsidRDefault="002E4F7A" w:rsidP="00AF4ECC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D4F0F" w:rsidRDefault="002E4F7A" w:rsidP="00AF4ECC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AF4ECC" w:rsidRPr="00F2205E" w:rsidTr="002E4F7A">
        <w:trPr>
          <w:trHeight w:val="528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F4ECC" w:rsidRDefault="00AF4ECC" w:rsidP="00AF4ECC">
            <w:pPr>
              <w:spacing w:after="0"/>
              <w:jc w:val="right"/>
              <w:rPr>
                <w:rFonts w:ascii="Garamond" w:eastAsia="Garamond" w:hAnsi="Garamond" w:cs="Garamond"/>
                <w:b/>
                <w:bCs/>
              </w:rPr>
            </w:pPr>
            <w:r w:rsidRPr="00912C21">
              <w:rPr>
                <w:rFonts w:ascii="Garamond" w:eastAsia="Garamond" w:hAnsi="Garamond" w:cs="Garamond"/>
              </w:rPr>
              <w:t>Łącznie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AF4ECC" w:rsidRPr="00F2205E" w:rsidRDefault="00AF4ECC" w:rsidP="00AF4ECC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</w:tbl>
    <w:p w:rsidR="0078563D" w:rsidRPr="0078563D" w:rsidRDefault="0078563D" w:rsidP="0078563D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sz w:val="20"/>
        </w:rPr>
      </w:pPr>
      <w:r w:rsidRPr="0078563D">
        <w:rPr>
          <w:rStyle w:val="normaltextrun"/>
          <w:rFonts w:ascii="Garamond" w:hAnsi="Garamond"/>
          <w:b/>
          <w:bCs/>
          <w:sz w:val="20"/>
        </w:rPr>
        <w:t>*należy uzupełnić, pod rygorem odrzucenia oferty, jako niezgodnej z warunkami zamówienia. Wskazane informacje muszą w jednoznaczny sposób identyfikować oferowany sprzęt/oprogramowanie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Pr="0078563D" w:rsidRDefault="00506D77">
      <w:pPr>
        <w:spacing w:after="0" w:line="360" w:lineRule="auto"/>
        <w:jc w:val="both"/>
        <w:rPr>
          <w:rFonts w:ascii="Garamond" w:hAnsi="Garamond"/>
          <w:color w:val="000000"/>
        </w:rPr>
      </w:pPr>
      <w:r w:rsidRPr="0078563D">
        <w:rPr>
          <w:rFonts w:ascii="Garamond" w:eastAsia="Verdana" w:hAnsi="Garamond" w:cs="Verdana"/>
          <w:b/>
        </w:rPr>
        <w:t xml:space="preserve">OFERUJEMY </w:t>
      </w:r>
      <w:r w:rsidRPr="0078563D">
        <w:rPr>
          <w:rFonts w:ascii="Garamond" w:eastAsia="Verdana" w:hAnsi="Garamond" w:cs="Verdana"/>
        </w:rPr>
        <w:t>przedmiot zamówienia o następujących parametrach technicznych (</w:t>
      </w:r>
      <w:r w:rsidR="0078563D">
        <w:rPr>
          <w:rFonts w:ascii="Garamond" w:hAnsi="Garamond"/>
          <w:color w:val="000000"/>
          <w:sz w:val="20"/>
          <w:szCs w:val="20"/>
        </w:rPr>
        <w:t>w</w:t>
      </w:r>
      <w:r w:rsidRPr="0078563D">
        <w:rPr>
          <w:rFonts w:ascii="Garamond" w:hAnsi="Garamond"/>
          <w:color w:val="000000"/>
          <w:sz w:val="20"/>
          <w:szCs w:val="20"/>
        </w:rPr>
        <w:t>szystkie parametry i wartości podane w zestawieniu muszą dotyczyć oferowanej konfiguracji - zawarte w cenie oferty - i dostępne w oferowanym produkcie w chwili złożenia oferty</w:t>
      </w:r>
      <w:r w:rsidRPr="0078563D">
        <w:rPr>
          <w:rFonts w:ascii="Garamond" w:hAnsi="Garamond"/>
          <w:color w:val="000000"/>
        </w:rPr>
        <w:t>):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tbl>
      <w:tblPr>
        <w:tblW w:w="143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1129"/>
        <w:gridCol w:w="8646"/>
        <w:gridCol w:w="1560"/>
        <w:gridCol w:w="2976"/>
      </w:tblGrid>
      <w:tr w:rsidR="00B1322B" w:rsidTr="0078563D">
        <w:tc>
          <w:tcPr>
            <w:tcW w:w="1129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color w:val="000000"/>
              </w:rPr>
              <w:t>Lp.</w:t>
            </w:r>
          </w:p>
        </w:tc>
        <w:tc>
          <w:tcPr>
            <w:tcW w:w="8646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 w:rsidP="5C5BA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bCs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>Opisprzedmiotu zamówienia -wymagania minimalne</w:t>
            </w:r>
          </w:p>
        </w:tc>
        <w:tc>
          <w:tcPr>
            <w:tcW w:w="1560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 xml:space="preserve">Potwierdzenie spełnienia wymagań minimalnych </w:t>
            </w:r>
            <w:r w:rsidRPr="0078563D">
              <w:rPr>
                <w:rFonts w:ascii="Garamond" w:eastAsia="Verdana" w:hAnsi="Garamond" w:cs="Verdana"/>
                <w:b/>
                <w:color w:val="000000"/>
              </w:rPr>
              <w:t xml:space="preserve">TAK/NIE* 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>Wypełnia wykonawca</w:t>
            </w:r>
          </w:p>
        </w:tc>
        <w:tc>
          <w:tcPr>
            <w:tcW w:w="2976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>W przypadku spełnienia jednocześnie wymagań minimalnych oraz przy parametrach urządzenia wyższych niż minimalne należy podać parametry oferowane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 xml:space="preserve">Wypełnia Wykonawca </w:t>
            </w:r>
          </w:p>
        </w:tc>
      </w:tr>
      <w:tr w:rsidR="0078563D" w:rsidTr="000B3778">
        <w:trPr>
          <w:trHeight w:val="442"/>
        </w:trPr>
        <w:tc>
          <w:tcPr>
            <w:tcW w:w="9775" w:type="dxa"/>
            <w:gridSpan w:val="2"/>
            <w:vAlign w:val="center"/>
          </w:tcPr>
          <w:p w:rsidR="0078563D" w:rsidRPr="009F644B" w:rsidRDefault="000B3778" w:rsidP="000B3778">
            <w:pPr>
              <w:spacing w:after="0" w:line="276" w:lineRule="auto"/>
              <w:jc w:val="center"/>
              <w:rPr>
                <w:rFonts w:ascii="Garamond" w:hAnsi="Garamond" w:cs="Arial"/>
                <w:b/>
                <w:highlight w:val="lightGray"/>
              </w:rPr>
            </w:pPr>
            <w:r>
              <w:rPr>
                <w:rFonts w:ascii="Garamond" w:hAnsi="Garamond"/>
                <w:b/>
                <w:kern w:val="3"/>
                <w:lang w:eastAsia="zh-CN" w:bidi="hi-IN"/>
              </w:rPr>
              <w:t>Licencje (moduły)</w:t>
            </w:r>
          </w:p>
        </w:tc>
        <w:tc>
          <w:tcPr>
            <w:tcW w:w="1560" w:type="dxa"/>
          </w:tcPr>
          <w:p w:rsidR="0078563D" w:rsidRPr="009F644B" w:rsidRDefault="0078563D" w:rsidP="003B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</w:p>
        </w:tc>
        <w:tc>
          <w:tcPr>
            <w:tcW w:w="2976" w:type="dxa"/>
          </w:tcPr>
          <w:p w:rsidR="0078563D" w:rsidRDefault="0078563D" w:rsidP="003B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0B3778" w:rsidTr="009F644B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  <w:vAlign w:val="center"/>
          </w:tcPr>
          <w:p w:rsidR="000B3778" w:rsidRPr="000B3778" w:rsidRDefault="000B3778" w:rsidP="000B3778">
            <w:pPr>
              <w:tabs>
                <w:tab w:val="left" w:pos="5760"/>
              </w:tabs>
              <w:suppressAutoHyphens/>
              <w:autoSpaceDN w:val="0"/>
              <w:spacing w:after="0" w:line="276" w:lineRule="auto"/>
              <w:ind w:right="6"/>
              <w:jc w:val="both"/>
              <w:textAlignment w:val="baseline"/>
              <w:rPr>
                <w:rFonts w:ascii="Garamond" w:hAnsi="Garamond"/>
                <w:bCs/>
              </w:rPr>
            </w:pPr>
            <w:r w:rsidRPr="000B3778">
              <w:rPr>
                <w:rFonts w:ascii="Garamond" w:hAnsi="Garamond"/>
                <w:bCs/>
              </w:rPr>
              <w:t>Zamawiający wymaga dostarczenia licencji bezterminowych i bez ograniczeń terytorialnych na każdy z elementów oferowanego systemu informatycznego, tzn. wszystkie funkcjonalności systemu informatycznego muszą być dostępne przez cały okres użytkowania systemu przez Zamawiającego, także w przypadku wygaśnięcia umów gwarancyjnych i serwisowych.</w:t>
            </w:r>
          </w:p>
          <w:p w:rsidR="000B3778" w:rsidRPr="000B3778" w:rsidRDefault="000B3778" w:rsidP="000B3778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3778">
              <w:rPr>
                <w:rFonts w:ascii="Garamond" w:hAnsi="Garamond"/>
                <w:bCs/>
                <w:sz w:val="22"/>
                <w:szCs w:val="22"/>
              </w:rPr>
              <w:t>Przez pojęcie „Otwarta” „Open” Zamawiający rozumie licencję bezterminową na nieograniczoną liczbę użytkowników i stanowisk komputerowych.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8F3974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>W obrębie sal operacyjnych wymagana komunikacja z aparatami do znieczulania ogólnego i monitorami pacjenta, pompami infuzyjnymi posiadanymi przez Zamawiającego.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8F3974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jc w:val="both"/>
              <w:rPr>
                <w:rFonts w:ascii="Garamond" w:hAnsi="Garamond"/>
                <w:bCs/>
              </w:rPr>
            </w:pPr>
            <w:r w:rsidRPr="000B3778">
              <w:rPr>
                <w:rFonts w:ascii="Garamond" w:hAnsi="Garamond"/>
                <w:bCs/>
              </w:rPr>
              <w:t xml:space="preserve">Zamawiający dopuszcza inny podział modułów funkcjonalnych systemu, pod warunkiem zachowania wymaganych w OPZ funkcjonalności. </w:t>
            </w:r>
          </w:p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  <w:bCs/>
              </w:rPr>
              <w:t>Ilość licencji na oferowane moduły nie może być mniejsza niż wymagana w tabeli poniżej, lub otrzymania licencji otwartej na wszystkie moduły.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0B3778">
        <w:trPr>
          <w:trHeight w:val="2427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jc w:val="both"/>
              <w:rPr>
                <w:rFonts w:ascii="Garamond" w:hAnsi="Garamond"/>
                <w:bCs/>
              </w:rPr>
            </w:pPr>
            <w:r w:rsidRPr="000B3778">
              <w:rPr>
                <w:rFonts w:ascii="Garamond" w:hAnsi="Garamond"/>
                <w:bCs/>
              </w:rPr>
              <w:t>Zamawiający wymaga, aby dostarczony system informatyczny objęty był licencją na użytkownika „licencja pływająca” w następującej ilości licencji na poszczególne moduły funkcjonalne Oprogramowania Aplikacyjnego: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79"/>
              <w:gridCol w:w="4640"/>
              <w:gridCol w:w="2760"/>
            </w:tblGrid>
            <w:tr w:rsidR="000B3778" w:rsidRPr="000B3778" w:rsidTr="003A451B">
              <w:tc>
                <w:tcPr>
                  <w:tcW w:w="879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  <w:b/>
                      <w:bCs/>
                    </w:rPr>
                    <w:t>l.p.</w:t>
                  </w:r>
                </w:p>
              </w:tc>
              <w:tc>
                <w:tcPr>
                  <w:tcW w:w="4640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  <w:b/>
                      <w:bCs/>
                    </w:rPr>
                    <w:t>Moduł</w:t>
                  </w:r>
                </w:p>
              </w:tc>
              <w:tc>
                <w:tcPr>
                  <w:tcW w:w="2760" w:type="dxa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  <w:b/>
                      <w:bCs/>
                    </w:rPr>
                    <w:t>Ilość</w:t>
                  </w:r>
                </w:p>
              </w:tc>
            </w:tr>
            <w:tr w:rsidR="000B3778" w:rsidRPr="000B3778" w:rsidTr="003A451B">
              <w:tc>
                <w:tcPr>
                  <w:tcW w:w="879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 w:cs="Arial"/>
                    </w:rPr>
                    <w:t>1</w:t>
                  </w:r>
                </w:p>
              </w:tc>
              <w:tc>
                <w:tcPr>
                  <w:tcW w:w="4640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</w:rPr>
                    <w:t>Integracja z P1 – wsparcie  digitalizacji  dokumentacji medycznej</w:t>
                  </w:r>
                </w:p>
              </w:tc>
              <w:tc>
                <w:tcPr>
                  <w:tcW w:w="2760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</w:rPr>
                    <w:t>Open</w:t>
                  </w:r>
                </w:p>
              </w:tc>
            </w:tr>
            <w:tr w:rsidR="000B3778" w:rsidRPr="000B3778" w:rsidTr="003A451B">
              <w:tc>
                <w:tcPr>
                  <w:tcW w:w="879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 w:cs="Arial"/>
                    </w:rPr>
                    <w:t>2</w:t>
                  </w:r>
                </w:p>
              </w:tc>
              <w:tc>
                <w:tcPr>
                  <w:tcW w:w="4640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</w:rPr>
                    <w:t>EDM – nowe dokumenty ustawowe</w:t>
                  </w:r>
                </w:p>
              </w:tc>
              <w:tc>
                <w:tcPr>
                  <w:tcW w:w="2760" w:type="dxa"/>
                  <w:vAlign w:val="center"/>
                </w:tcPr>
                <w:p w:rsidR="000B3778" w:rsidRPr="000B3778" w:rsidRDefault="000B3778" w:rsidP="000B3778">
                  <w:pPr>
                    <w:spacing w:line="276" w:lineRule="auto"/>
                    <w:jc w:val="both"/>
                    <w:rPr>
                      <w:rFonts w:ascii="Garamond" w:hAnsi="Garamond" w:cs="Arial"/>
                    </w:rPr>
                  </w:pPr>
                  <w:r w:rsidRPr="000B3778">
                    <w:rPr>
                      <w:rFonts w:ascii="Garamond" w:hAnsi="Garamond"/>
                    </w:rPr>
                    <w:t>Open</w:t>
                  </w:r>
                </w:p>
              </w:tc>
            </w:tr>
          </w:tbl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54EB6">
        <w:trPr>
          <w:trHeight w:val="322"/>
        </w:trPr>
        <w:tc>
          <w:tcPr>
            <w:tcW w:w="9775" w:type="dxa"/>
            <w:gridSpan w:val="2"/>
            <w:vAlign w:val="center"/>
          </w:tcPr>
          <w:p w:rsidR="000B3778" w:rsidRPr="000B3778" w:rsidRDefault="000B3778" w:rsidP="000B3778">
            <w:pPr>
              <w:widowControl w:val="0"/>
              <w:spacing w:after="0" w:line="276" w:lineRule="auto"/>
              <w:jc w:val="center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  <w:b/>
                <w:kern w:val="3"/>
                <w:lang w:eastAsia="zh-CN" w:bidi="hi-IN"/>
              </w:rPr>
              <w:t>Wymagania funkcjonalne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3C46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  <w:bCs/>
              </w:rPr>
              <w:t xml:space="preserve">Spełnienie wszystkich wymagań jest obligatoryjne. Oferowane oprogramowanie musi spełniać wszystkie wymagania opisane w niniejszym załączniku - są one  bezwzględnie wymagane i stanowią parametry graniczne. W przypadku niespełnienia któregokolwiek z tych wymagań spowoduje, że  oferta zostanie odrzucona, jako niekompletna (niezgodna z SWZ). 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3C46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  <w:bCs/>
              </w:rPr>
              <w:t>Zamawiający wymaga, aby zaoferowane Oprogramowanie Aplikacyjne było rozwiązaniem istniejącym, działającym, gotowym do wdrożenia i zapewniającym na dzień składania ofert realizację wszystkich wymaganych w SWZ (w szczególności OPZ) funkcjonalności oraz nie może być w fazie opracowywania, budowy, testów, projektowania itp.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0B3778">
        <w:trPr>
          <w:trHeight w:val="496"/>
        </w:trPr>
        <w:tc>
          <w:tcPr>
            <w:tcW w:w="9775" w:type="dxa"/>
            <w:gridSpan w:val="2"/>
            <w:vAlign w:val="center"/>
          </w:tcPr>
          <w:p w:rsidR="000B3778" w:rsidRPr="000B3778" w:rsidRDefault="000B3778" w:rsidP="000B3778">
            <w:pPr>
              <w:spacing w:after="0" w:line="276" w:lineRule="auto"/>
              <w:ind w:right="141"/>
              <w:jc w:val="center"/>
              <w:rPr>
                <w:rFonts w:ascii="Garamond" w:hAnsi="Garamond"/>
              </w:rPr>
            </w:pPr>
            <w:r w:rsidRPr="000B3778">
              <w:rPr>
                <w:rFonts w:ascii="Garamond" w:hAnsi="Garamond" w:cs="Arial"/>
                <w:b/>
              </w:rPr>
              <w:t>Integracja z P1 – wsparcie digitalizacji dokumentacji medycznej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uppressAutoHyphens/>
              <w:autoSpaceDE/>
              <w:autoSpaceDN/>
              <w:adjustRightInd/>
              <w:spacing w:line="276" w:lineRule="auto"/>
              <w:rPr>
                <w:rFonts w:ascii="Garamond" w:hAnsi="Garamond" w:cstheme="minorHAnsi"/>
                <w:color w:val="auto"/>
                <w:sz w:val="22"/>
                <w:szCs w:val="22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 xml:space="preserve">Możliwość monitorowania poziomu zaindeksowania dokumentów (karty informacyjne) - z uwzględnieniem kart przekazanych do centralnego repozytorium Centrum e-Zdrowia dla </w:t>
            </w:r>
            <w:proofErr w:type="spellStart"/>
            <w:r w:rsidRPr="000B3778">
              <w:rPr>
                <w:rFonts w:ascii="Garamond" w:hAnsi="Garamond"/>
                <w:sz w:val="22"/>
                <w:szCs w:val="22"/>
              </w:rPr>
              <w:t>zdigitalizowanej</w:t>
            </w:r>
            <w:proofErr w:type="spellEnd"/>
            <w:r w:rsidRPr="000B3778">
              <w:rPr>
                <w:rFonts w:ascii="Garamond" w:hAnsi="Garamond"/>
                <w:sz w:val="22"/>
                <w:szCs w:val="22"/>
              </w:rPr>
              <w:t xml:space="preserve"> papierowej dokumentacji medycznej lub dokumentacji prowadzonej w wersji elektronicznej z podziałem na jednostki organizacyjne (możliwość monitorowania wskaźnika na poziomie kierowników poszczególnych jednostek org.), z dokładnością do miesiąca.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 xml:space="preserve">Możliwość ponownej wysyłki indeksów do P1 i przeglądu błędów indeksacji z poziomu GUI HIS (w tym możliwość wykonania </w:t>
            </w:r>
            <w:proofErr w:type="spellStart"/>
            <w:r w:rsidRPr="000B3778">
              <w:rPr>
                <w:rFonts w:ascii="Garamond" w:hAnsi="Garamond"/>
              </w:rPr>
              <w:t>reindeksacji</w:t>
            </w:r>
            <w:proofErr w:type="spellEnd"/>
            <w:r w:rsidRPr="000B3778">
              <w:rPr>
                <w:rFonts w:ascii="Garamond" w:hAnsi="Garamond"/>
              </w:rPr>
              <w:t xml:space="preserve"> w trybie synchronicznym bezpośrednio z ekranu dokumentacji medycznej w danych pobytu pacjenta w szpitalu.)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 xml:space="preserve">Możliwość wymuszenia </w:t>
            </w:r>
            <w:proofErr w:type="spellStart"/>
            <w:r w:rsidRPr="000B3778">
              <w:rPr>
                <w:rFonts w:ascii="Garamond" w:hAnsi="Garamond"/>
              </w:rPr>
              <w:t>reindeksacji</w:t>
            </w:r>
            <w:proofErr w:type="spellEnd"/>
            <w:r w:rsidRPr="000B3778">
              <w:rPr>
                <w:rFonts w:ascii="Garamond" w:hAnsi="Garamond"/>
              </w:rPr>
              <w:t xml:space="preserve"> z poziomu GUI repozytorium EDM 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0B3778">
              <w:rPr>
                <w:rFonts w:ascii="Garamond" w:hAnsi="Garamond"/>
              </w:rPr>
              <w:t xml:space="preserve">Funkcjonalność tworzenia dokumentów elektronicznych zgodnych z szablonem PIK HL7 CDA dla dokumentów </w:t>
            </w:r>
            <w:proofErr w:type="spellStart"/>
            <w:r w:rsidRPr="000B3778">
              <w:rPr>
                <w:rFonts w:ascii="Garamond" w:hAnsi="Garamond"/>
              </w:rPr>
              <w:t>zdigitalizowanych</w:t>
            </w:r>
            <w:proofErr w:type="spellEnd"/>
            <w:r w:rsidRPr="000B3778">
              <w:rPr>
                <w:rFonts w:ascii="Garamond" w:hAnsi="Garamond"/>
              </w:rPr>
              <w:t xml:space="preserve"> na bazie zarejestrowanych w systemie dokumentów zeskanowanych.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 xml:space="preserve">Możliwość poświadczenia zgodności dokumentu </w:t>
            </w:r>
            <w:proofErr w:type="spellStart"/>
            <w:r w:rsidRPr="000B3778">
              <w:rPr>
                <w:rFonts w:ascii="Garamond" w:hAnsi="Garamond"/>
              </w:rPr>
              <w:t>zdigitalizowanego</w:t>
            </w:r>
            <w:proofErr w:type="spellEnd"/>
            <w:r w:rsidRPr="000B3778">
              <w:rPr>
                <w:rFonts w:ascii="Garamond" w:hAnsi="Garamond"/>
              </w:rPr>
              <w:t xml:space="preserve"> z oryginałem przez złożenie podpisu elektronicznego.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</w:rPr>
              <w:t xml:space="preserve">Integracja z platformą P1 zgodnie z udostępnioną specyfikacją usług dla dokumentów </w:t>
            </w:r>
            <w:proofErr w:type="spellStart"/>
            <w:r w:rsidRPr="000B3778">
              <w:rPr>
                <w:rFonts w:ascii="Garamond" w:hAnsi="Garamond"/>
              </w:rPr>
              <w:t>zdigitalizowanych</w:t>
            </w:r>
            <w:proofErr w:type="spellEnd"/>
            <w:r w:rsidRPr="000B3778">
              <w:rPr>
                <w:rFonts w:ascii="Garamond" w:hAnsi="Garamond"/>
              </w:rPr>
              <w:t>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</w:rPr>
              <w:t xml:space="preserve">Automatyczna </w:t>
            </w:r>
            <w:proofErr w:type="spellStart"/>
            <w:r w:rsidRPr="000B3778">
              <w:rPr>
                <w:rFonts w:ascii="Garamond" w:hAnsi="Garamond"/>
              </w:rPr>
              <w:t>reindeksacja</w:t>
            </w:r>
            <w:proofErr w:type="spellEnd"/>
            <w:r w:rsidRPr="000B3778">
              <w:rPr>
                <w:rFonts w:ascii="Garamond" w:hAnsi="Garamond"/>
              </w:rPr>
              <w:t xml:space="preserve"> dokumentów, dla których ustała przyczyna braku możliwości zaindeksowania (np. przekazano z opóźnieniem ZM) – proces działający w tle w oparciu o dostarczoną konfigurację.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453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0B3778">
              <w:rPr>
                <w:rFonts w:ascii="Garamond" w:hAnsi="Garamond"/>
              </w:rPr>
              <w:t>Możliwość przebudowy indeksu dokumentu i wysyłki do P1 bez konieczności tworzenia i podpisu nowej wersji dokumentu w przypadku braku ID ZM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Times New Roman" w:hAnsi="Garamond" w:cstheme="minorHAnsi"/>
                <w:bCs/>
                <w:color w:val="000000"/>
              </w:rPr>
            </w:pPr>
            <w:r w:rsidRPr="000B3778">
              <w:rPr>
                <w:rFonts w:ascii="Garamond" w:hAnsi="Garamond"/>
              </w:rPr>
              <w:t>Prezentacja wskaźników indeksacji dokumentów oraz listy problemów związanych z indeksacją danych w systemie P1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>Wskazanie działań naprawczych dla problemów indeksacji dokumentów w P1 i dostęp do funkcjonalności je realizujących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>Przygotowanie listy dokumentów podlegających indeksowaniu w P1, ale niezaindeksowanych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  <w:lang w:eastAsia="en-US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>Możliwość zbiorczego importu do systemu HIS zeskanowanych dokumentów kart informacyjnych w formacie pdf i automatycznego ich powiązania z hospitalizacją pacjenta na podstawie nazwy pliku, w oparciu o co najmniej dwie dane identyfikujące hospitalizację/pacjenta.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44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b/>
                <w:color w:val="000000"/>
              </w:rPr>
            </w:pPr>
            <w:r w:rsidRPr="000B3778">
              <w:rPr>
                <w:rFonts w:ascii="Garamond" w:hAnsi="Garamond"/>
              </w:rPr>
              <w:t>Możliwość podglądu raportu ze zbiorczego importu zeskanowanych kart informacyjnych do systemu HIS oraz możliwość uzupełnienia danych wymaganych do rejestracji dokumentu bez konieczności ponownego pobierania skanu, w przypadku, gdy podczas importu nie uda się go powiązać z hospitalizacją pacjenta.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22F73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</w:rPr>
              <w:t>Możliwość podglądu skanu dokumentu karty informacyjnej przed ostatecznym etapem digitalizacji dokumentu (potwierdzeniem podpisem zgodności z oryginałem) oraz podczas uzupełniania danych wymaganych do powiązania skanu dokumentu karty informacyjnej z hospitalizacją pacjenta. 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0B3778">
        <w:trPr>
          <w:trHeight w:val="464"/>
        </w:trPr>
        <w:tc>
          <w:tcPr>
            <w:tcW w:w="9775" w:type="dxa"/>
            <w:gridSpan w:val="2"/>
            <w:vAlign w:val="center"/>
          </w:tcPr>
          <w:p w:rsidR="000B3778" w:rsidRPr="000B3778" w:rsidRDefault="000B3778" w:rsidP="000B3778">
            <w:pPr>
              <w:spacing w:after="0" w:line="276" w:lineRule="auto"/>
              <w:jc w:val="center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  <w:b/>
              </w:rPr>
              <w:t>Rozszerzenie EDM o nowe dokumenty ustawowe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</w:rPr>
              <w:t>System musi posiadać możliwość generowania poniższych dokumentów w postaci elektronicznej, zgodnie z obowiązującym standardem i obowiązującymi przepisami prawa (o ile przepisy nie wskazują, że dokumenty są generowane poza systemem HIS):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</w:rPr>
            </w:pPr>
            <w:r w:rsidRPr="000B3778">
              <w:rPr>
                <w:rFonts w:ascii="Garamond" w:hAnsi="Garamond"/>
              </w:rPr>
              <w:t>- opisy badań histopatologicznych,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Default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3778">
              <w:rPr>
                <w:rFonts w:ascii="Garamond" w:hAnsi="Garamond"/>
                <w:sz w:val="22"/>
                <w:szCs w:val="22"/>
              </w:rPr>
              <w:t>- opisy badań cytologicznych,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>- karta diagnostyki i leczenia onkologicznego (e-DILO),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>- plan leczenia onkologicznego,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  <w:lang w:val="en-US"/>
              </w:rPr>
            </w:pPr>
            <w:r w:rsidRPr="000B3778">
              <w:rPr>
                <w:rFonts w:ascii="Garamond" w:hAnsi="Garamond"/>
              </w:rPr>
              <w:t xml:space="preserve">- </w:t>
            </w:r>
            <w:proofErr w:type="spellStart"/>
            <w:r w:rsidRPr="000B3778">
              <w:rPr>
                <w:rFonts w:ascii="Garamond" w:hAnsi="Garamond"/>
              </w:rPr>
              <w:t>PatientSummary</w:t>
            </w:r>
            <w:proofErr w:type="spellEnd"/>
            <w:r w:rsidRPr="000B3778">
              <w:rPr>
                <w:rFonts w:ascii="Garamond" w:hAnsi="Garamond"/>
              </w:rPr>
              <w:t xml:space="preserve"> (Karta zdrowia pacjenta),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>- karta opieki kardiologicznej (e-KOK),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527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eastAsia="Verdana" w:hAnsi="Garamond" w:cs="Verdana"/>
                <w:color w:val="000000"/>
              </w:rPr>
            </w:pPr>
            <w:r w:rsidRPr="000B3778">
              <w:rPr>
                <w:rFonts w:ascii="Garamond" w:hAnsi="Garamond"/>
              </w:rPr>
              <w:t>- karta medycznych czynności ratunkowych,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0B3778">
              <w:rPr>
                <w:rFonts w:ascii="Garamond" w:hAnsi="Garamond"/>
              </w:rPr>
              <w:t>- karta medyczna lotniczego zespołu ratownictwa medycznego,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dokumenty medycyny pracy (dokument orzeczenia lekarskiego oraz wytyczne wynikające z</w:t>
            </w:r>
            <w:r w:rsidRPr="000B3778">
              <w:rPr>
                <w:rFonts w:ascii="Times New Roman" w:hAnsi="Times New Roman" w:cs="Times New Roman"/>
              </w:rPr>
              <w:t> </w:t>
            </w:r>
            <w:r w:rsidRPr="000B3778">
              <w:rPr>
                <w:rFonts w:ascii="Garamond" w:hAnsi="Garamond"/>
              </w:rPr>
              <w:t>warunk</w:t>
            </w:r>
            <w:r w:rsidRPr="000B3778">
              <w:rPr>
                <w:rFonts w:ascii="Garamond" w:hAnsi="Garamond" w:cs="Garamond"/>
              </w:rPr>
              <w:t>ó</w:t>
            </w:r>
            <w:r w:rsidRPr="000B3778">
              <w:rPr>
                <w:rFonts w:ascii="Garamond" w:hAnsi="Garamond"/>
              </w:rPr>
              <w:t>w pracy lub stanowiska pracy).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System musi umożliwiać integrację z Platformą P1 w zakresie poniżej wskazanych typów dokumentów: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e-wyniki i opisy badań histopatologicznych,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e-wyniki i opisy badań cytologicznych,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karta diagnostyki i leczenia onkologicznego (e-DILO),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421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  <w:b/>
              </w:rPr>
            </w:pPr>
            <w:r w:rsidRPr="000B3778">
              <w:rPr>
                <w:rFonts w:ascii="Garamond" w:hAnsi="Garamond"/>
              </w:rPr>
              <w:t>- plan leczenia onkologicznego,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spacing w:after="0"/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Tekstpodstawowy"/>
              <w:spacing w:after="0" w:line="276" w:lineRule="auto"/>
              <w:rPr>
                <w:rFonts w:ascii="Garamond" w:hAnsi="Garamond" w:cstheme="minorHAnsi"/>
                <w:color w:val="000000"/>
              </w:rPr>
            </w:pPr>
            <w:r w:rsidRPr="000B3778">
              <w:rPr>
                <w:rFonts w:ascii="Garamond" w:hAnsi="Garamond"/>
              </w:rPr>
              <w:t xml:space="preserve">- </w:t>
            </w:r>
            <w:proofErr w:type="spellStart"/>
            <w:r w:rsidRPr="000B3778">
              <w:rPr>
                <w:rFonts w:ascii="Garamond" w:hAnsi="Garamond"/>
              </w:rPr>
              <w:t>PatientSummary</w:t>
            </w:r>
            <w:proofErr w:type="spellEnd"/>
            <w:r w:rsidRPr="000B3778">
              <w:rPr>
                <w:rFonts w:ascii="Garamond" w:hAnsi="Garamond"/>
              </w:rPr>
              <w:t xml:space="preserve"> (Karta zdrowia pacjenta),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0B3778">
              <w:rPr>
                <w:rFonts w:ascii="Garamond" w:hAnsi="Garamond"/>
              </w:rPr>
              <w:t>- karta opieki kardiologicznej (e-KOK),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karta medycznych czynności ratunkowych,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widowControl w:val="0"/>
              <w:spacing w:after="0" w:line="276" w:lineRule="auto"/>
              <w:rPr>
                <w:rFonts w:ascii="Garamond" w:eastAsia="Verdana" w:hAnsi="Garamond" w:cs="Verdana"/>
              </w:rPr>
            </w:pPr>
            <w:r w:rsidRPr="000B3778">
              <w:rPr>
                <w:rFonts w:ascii="Garamond" w:hAnsi="Garamond"/>
              </w:rPr>
              <w:t>- karta medyczna lotniczego zespołu ratownictwa medycznego,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B3778" w:rsidTr="009C65DD">
        <w:trPr>
          <w:trHeight w:val="322"/>
        </w:trPr>
        <w:tc>
          <w:tcPr>
            <w:tcW w:w="1129" w:type="dxa"/>
            <w:vAlign w:val="center"/>
          </w:tcPr>
          <w:p w:rsidR="000B3778" w:rsidRPr="009F644B" w:rsidRDefault="000B3778" w:rsidP="007C4BB9">
            <w:pPr>
              <w:pStyle w:val="Akapitzlist"/>
              <w:numPr>
                <w:ilvl w:val="0"/>
                <w:numId w:val="1"/>
              </w:numPr>
              <w:ind w:left="313"/>
              <w:jc w:val="center"/>
              <w:rPr>
                <w:rFonts w:ascii="Garamond" w:eastAsia="Verdana" w:hAnsi="Garamond" w:cs="Verdana"/>
                <w:sz w:val="22"/>
                <w:szCs w:val="22"/>
              </w:rPr>
            </w:pPr>
          </w:p>
        </w:tc>
        <w:tc>
          <w:tcPr>
            <w:tcW w:w="8646" w:type="dxa"/>
          </w:tcPr>
          <w:p w:rsidR="000B3778" w:rsidRPr="000B3778" w:rsidRDefault="000B3778" w:rsidP="000B3778">
            <w:pPr>
              <w:pStyle w:val="Tekstpodstawowy"/>
              <w:spacing w:after="0" w:line="276" w:lineRule="auto"/>
              <w:rPr>
                <w:rFonts w:ascii="Garamond" w:hAnsi="Garamond" w:cstheme="minorHAnsi"/>
                <w:b/>
                <w:color w:val="000000"/>
              </w:rPr>
            </w:pPr>
            <w:r w:rsidRPr="000B3778">
              <w:rPr>
                <w:rFonts w:ascii="Garamond" w:hAnsi="Garamond"/>
              </w:rPr>
              <w:t>- dokumenty medycyny pracy (dokument orzeczenia lekarskiego oraz wytyczne wynikające z</w:t>
            </w:r>
            <w:r w:rsidRPr="000B3778">
              <w:rPr>
                <w:rFonts w:ascii="Times New Roman" w:hAnsi="Times New Roman" w:cs="Times New Roman"/>
              </w:rPr>
              <w:t> </w:t>
            </w:r>
            <w:r w:rsidRPr="000B3778">
              <w:rPr>
                <w:rFonts w:ascii="Garamond" w:hAnsi="Garamond"/>
              </w:rPr>
              <w:t>warunk</w:t>
            </w:r>
            <w:r w:rsidRPr="000B3778">
              <w:rPr>
                <w:rFonts w:ascii="Garamond" w:hAnsi="Garamond" w:cs="Garamond"/>
              </w:rPr>
              <w:t>ó</w:t>
            </w:r>
            <w:r w:rsidRPr="000B3778">
              <w:rPr>
                <w:rFonts w:ascii="Garamond" w:hAnsi="Garamond"/>
              </w:rPr>
              <w:t>w pracy lub stanowiska pracy).</w:t>
            </w:r>
          </w:p>
        </w:tc>
        <w:tc>
          <w:tcPr>
            <w:tcW w:w="1560" w:type="dxa"/>
          </w:tcPr>
          <w:p w:rsidR="000B3778" w:rsidRPr="009F644B" w:rsidRDefault="000B3778" w:rsidP="000B3778">
            <w:pPr>
              <w:jc w:val="center"/>
              <w:rPr>
                <w:rFonts w:ascii="Garamond" w:eastAsia="Verdana" w:hAnsi="Garamond" w:cs="Verdana"/>
              </w:rPr>
            </w:pPr>
          </w:p>
        </w:tc>
        <w:tc>
          <w:tcPr>
            <w:tcW w:w="2976" w:type="dxa"/>
          </w:tcPr>
          <w:p w:rsidR="000B3778" w:rsidRDefault="000B3778" w:rsidP="000B377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B1322B" w:rsidRPr="00702814" w:rsidRDefault="00506D77">
      <w:pPr>
        <w:spacing w:after="0" w:line="240" w:lineRule="auto"/>
        <w:rPr>
          <w:rFonts w:ascii="Garamond" w:hAnsi="Garamond"/>
          <w:b/>
          <w:i/>
        </w:rPr>
      </w:pPr>
      <w:r w:rsidRPr="00702814">
        <w:rPr>
          <w:rFonts w:ascii="Garamond" w:hAnsi="Garamond"/>
          <w:b/>
          <w:i/>
        </w:rPr>
        <w:t>* w powyższej tabeli kolumnę nr 3 wypełnia Wykonawca wpisując odpowiednio TAK lub NIE</w:t>
      </w:r>
    </w:p>
    <w:p w:rsidR="00B1322B" w:rsidRPr="00702814" w:rsidRDefault="00506D77">
      <w:pPr>
        <w:spacing w:after="0" w:line="240" w:lineRule="auto"/>
        <w:rPr>
          <w:rFonts w:ascii="Garamond" w:hAnsi="Garamond"/>
          <w:b/>
          <w:i/>
          <w:u w:val="single"/>
        </w:rPr>
      </w:pPr>
      <w:r w:rsidRPr="00702814">
        <w:rPr>
          <w:rFonts w:ascii="Garamond" w:hAnsi="Garamond"/>
          <w:b/>
          <w:i/>
          <w:u w:val="single"/>
        </w:rPr>
        <w:t>UWAGA! Nie spełnienie parametrów wymaganych przez Zamawiającego spowoduje odrzucenie oferty.</w:t>
      </w:r>
    </w:p>
    <w:p w:rsidR="00B1322B" w:rsidRDefault="00B1322B">
      <w:pPr>
        <w:ind w:left="6372"/>
        <w:rPr>
          <w:rFonts w:ascii="Arial" w:eastAsia="Arial" w:hAnsi="Arial" w:cs="Arial"/>
          <w:sz w:val="21"/>
          <w:szCs w:val="21"/>
        </w:rPr>
      </w:pPr>
    </w:p>
    <w:p w:rsidR="00AC1D93" w:rsidRDefault="00AC1D93">
      <w:pPr>
        <w:ind w:left="6372"/>
        <w:rPr>
          <w:rFonts w:ascii="Arial" w:eastAsia="Arial" w:hAnsi="Arial" w:cs="Arial"/>
          <w:sz w:val="21"/>
          <w:szCs w:val="21"/>
        </w:rPr>
      </w:pPr>
    </w:p>
    <w:p w:rsidR="00B1322B" w:rsidRDefault="00506D77" w:rsidP="009F644B">
      <w:pPr>
        <w:spacing w:after="0"/>
        <w:ind w:left="63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…….…………………………………….……………………….</w:t>
      </w:r>
    </w:p>
    <w:p w:rsidR="3ECF25CB" w:rsidRPr="00702814" w:rsidRDefault="00506D77" w:rsidP="009F644B">
      <w:pPr>
        <w:spacing w:after="0" w:line="360" w:lineRule="auto"/>
        <w:jc w:val="both"/>
        <w:rPr>
          <w:rFonts w:ascii="Garamond" w:eastAsia="Arial" w:hAnsi="Garamond" w:cs="Arial"/>
          <w:i/>
          <w:iCs/>
          <w:sz w:val="20"/>
          <w:szCs w:val="20"/>
        </w:rPr>
      </w:pPr>
      <w:bookmarkStart w:id="1" w:name="_heading=h.bzn094yx5t46" w:colFirst="0" w:colLast="0"/>
      <w:bookmarkEnd w:id="1"/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 w:rsidR="00702814">
        <w:rPr>
          <w:rFonts w:ascii="Garamond" w:eastAsia="Arial" w:hAnsi="Garamond" w:cs="Arial"/>
          <w:i/>
          <w:iCs/>
          <w:sz w:val="20"/>
          <w:szCs w:val="20"/>
        </w:rPr>
        <w:t>K</w:t>
      </w:r>
      <w:r w:rsidRPr="00702814">
        <w:rPr>
          <w:rFonts w:ascii="Garamond" w:eastAsia="Arial" w:hAnsi="Garamond" w:cs="Arial"/>
          <w:i/>
          <w:iCs/>
          <w:sz w:val="20"/>
          <w:szCs w:val="20"/>
        </w:rPr>
        <w:t>walifikowany podpis elektroniczny lub podpis zaufany lub podpis osobisty</w:t>
      </w:r>
    </w:p>
    <w:sectPr w:rsidR="3ECF25CB" w:rsidRPr="00702814" w:rsidSect="00AF4ECC">
      <w:headerReference w:type="default" r:id="rId10"/>
      <w:footerReference w:type="default" r:id="rId11"/>
      <w:pgSz w:w="16838" w:h="11906" w:orient="landscape"/>
      <w:pgMar w:top="121" w:right="678" w:bottom="1134" w:left="851" w:header="284" w:footer="0" w:gutter="0"/>
      <w:pgNumType w:start="1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14" w:rsidRDefault="00230214">
      <w:pPr>
        <w:spacing w:after="0" w:line="240" w:lineRule="auto"/>
      </w:pPr>
      <w:r>
        <w:separator/>
      </w:r>
    </w:p>
  </w:endnote>
  <w:endnote w:type="continuationSeparator" w:id="1">
    <w:p w:rsidR="00230214" w:rsidRDefault="0023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color w:val="808080"/>
        <w:sz w:val="18"/>
        <w:szCs w:val="18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b/>
        <w:color w:val="808080"/>
        <w:sz w:val="28"/>
        <w:szCs w:val="28"/>
      </w:rPr>
    </w:pPr>
    <w:r>
      <w:rPr>
        <w:rFonts w:ascii="Verdana" w:eastAsia="Verdana" w:hAnsi="Verdana" w:cs="Verdana"/>
        <w:color w:val="808080"/>
      </w:rPr>
      <w:t>____________________________________________________________________________________________________</w:t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| </w:t>
    </w:r>
    <w:r w:rsidR="000432FD">
      <w:rPr>
        <w:color w:val="000000"/>
      </w:rPr>
      <w:fldChar w:fldCharType="begin"/>
    </w:r>
    <w:r>
      <w:rPr>
        <w:color w:val="000000"/>
      </w:rPr>
      <w:instrText>PAGE</w:instrText>
    </w:r>
    <w:r w:rsidR="000432FD">
      <w:rPr>
        <w:color w:val="000000"/>
      </w:rPr>
      <w:fldChar w:fldCharType="separate"/>
    </w:r>
    <w:r w:rsidR="00D73C2B">
      <w:rPr>
        <w:noProof/>
        <w:color w:val="000000"/>
      </w:rPr>
      <w:t>1</w:t>
    </w:r>
    <w:r w:rsidR="000432FD">
      <w:rPr>
        <w:color w:val="000000"/>
      </w:rPr>
      <w:fldChar w:fldCharType="end"/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14" w:rsidRDefault="00230214">
      <w:pPr>
        <w:spacing w:after="0" w:line="240" w:lineRule="auto"/>
      </w:pPr>
      <w:r>
        <w:separator/>
      </w:r>
    </w:p>
  </w:footnote>
  <w:footnote w:type="continuationSeparator" w:id="1">
    <w:p w:rsidR="00230214" w:rsidRDefault="0023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 w:rsidP="00AC1D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24"/>
        <w:szCs w:val="24"/>
      </w:rPr>
    </w:pPr>
  </w:p>
  <w:p w:rsidR="009F644B" w:rsidRDefault="009F644B" w:rsidP="0078563D">
    <w:pPr>
      <w:pBdr>
        <w:top w:val="nil"/>
        <w:left w:val="nil"/>
        <w:bottom w:val="nil"/>
        <w:right w:val="nil"/>
        <w:between w:val="nil"/>
      </w:pBdr>
      <w:tabs>
        <w:tab w:val="left" w:pos="2415"/>
      </w:tabs>
      <w:spacing w:after="0" w:line="240" w:lineRule="auto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155B"/>
    <w:multiLevelType w:val="hybridMultilevel"/>
    <w:tmpl w:val="CF881A6A"/>
    <w:lvl w:ilvl="0" w:tplc="C4F81638">
      <w:start w:val="1"/>
      <w:numFmt w:val="decimal"/>
      <w:lvlText w:val="%1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1322B"/>
    <w:rsid w:val="000139A3"/>
    <w:rsid w:val="00014A76"/>
    <w:rsid w:val="0001577A"/>
    <w:rsid w:val="0004094C"/>
    <w:rsid w:val="000432FD"/>
    <w:rsid w:val="00054DB6"/>
    <w:rsid w:val="000734AD"/>
    <w:rsid w:val="000770F5"/>
    <w:rsid w:val="00083014"/>
    <w:rsid w:val="00092ED0"/>
    <w:rsid w:val="000B3778"/>
    <w:rsid w:val="000B78A6"/>
    <w:rsid w:val="000D752D"/>
    <w:rsid w:val="000E50C1"/>
    <w:rsid w:val="00160DF4"/>
    <w:rsid w:val="00181586"/>
    <w:rsid w:val="001855CA"/>
    <w:rsid w:val="00224577"/>
    <w:rsid w:val="00230214"/>
    <w:rsid w:val="0025763C"/>
    <w:rsid w:val="00263351"/>
    <w:rsid w:val="002E3A3C"/>
    <w:rsid w:val="002E4F7A"/>
    <w:rsid w:val="002F77ED"/>
    <w:rsid w:val="00313618"/>
    <w:rsid w:val="00315489"/>
    <w:rsid w:val="003259A3"/>
    <w:rsid w:val="00351672"/>
    <w:rsid w:val="00356D9D"/>
    <w:rsid w:val="003A4BFA"/>
    <w:rsid w:val="003B060B"/>
    <w:rsid w:val="00463BBC"/>
    <w:rsid w:val="004A65F1"/>
    <w:rsid w:val="004D44F7"/>
    <w:rsid w:val="004D6E1B"/>
    <w:rsid w:val="004E4C7C"/>
    <w:rsid w:val="00506D77"/>
    <w:rsid w:val="00552DC4"/>
    <w:rsid w:val="00575658"/>
    <w:rsid w:val="00594823"/>
    <w:rsid w:val="005D00C1"/>
    <w:rsid w:val="005D0A7F"/>
    <w:rsid w:val="005E012E"/>
    <w:rsid w:val="006055F3"/>
    <w:rsid w:val="00612C8F"/>
    <w:rsid w:val="00613FAB"/>
    <w:rsid w:val="006B4B60"/>
    <w:rsid w:val="006D38EF"/>
    <w:rsid w:val="00702814"/>
    <w:rsid w:val="007053B5"/>
    <w:rsid w:val="00721732"/>
    <w:rsid w:val="007241C4"/>
    <w:rsid w:val="0073277D"/>
    <w:rsid w:val="007415F2"/>
    <w:rsid w:val="00766312"/>
    <w:rsid w:val="00766B80"/>
    <w:rsid w:val="00772106"/>
    <w:rsid w:val="0078563D"/>
    <w:rsid w:val="007A009D"/>
    <w:rsid w:val="007C4BB9"/>
    <w:rsid w:val="007D3727"/>
    <w:rsid w:val="007D5582"/>
    <w:rsid w:val="007E2F4A"/>
    <w:rsid w:val="007E599E"/>
    <w:rsid w:val="00802B97"/>
    <w:rsid w:val="00824A41"/>
    <w:rsid w:val="00855C18"/>
    <w:rsid w:val="00875D74"/>
    <w:rsid w:val="008A638A"/>
    <w:rsid w:val="008D030A"/>
    <w:rsid w:val="008D499E"/>
    <w:rsid w:val="009606DD"/>
    <w:rsid w:val="00977460"/>
    <w:rsid w:val="009A2EE2"/>
    <w:rsid w:val="009A3DA1"/>
    <w:rsid w:val="009A43B8"/>
    <w:rsid w:val="009C5BEE"/>
    <w:rsid w:val="009F644B"/>
    <w:rsid w:val="00A0694E"/>
    <w:rsid w:val="00A07A0D"/>
    <w:rsid w:val="00A147AB"/>
    <w:rsid w:val="00A50F62"/>
    <w:rsid w:val="00AC1D93"/>
    <w:rsid w:val="00AE1586"/>
    <w:rsid w:val="00AF1195"/>
    <w:rsid w:val="00AF4ECC"/>
    <w:rsid w:val="00B02680"/>
    <w:rsid w:val="00B062CB"/>
    <w:rsid w:val="00B1322B"/>
    <w:rsid w:val="00B17A54"/>
    <w:rsid w:val="00B54D5C"/>
    <w:rsid w:val="00B64429"/>
    <w:rsid w:val="00B7509B"/>
    <w:rsid w:val="00B83DBE"/>
    <w:rsid w:val="00BB5E99"/>
    <w:rsid w:val="00BC7DC8"/>
    <w:rsid w:val="00C50987"/>
    <w:rsid w:val="00C631B2"/>
    <w:rsid w:val="00C80A55"/>
    <w:rsid w:val="00C8362A"/>
    <w:rsid w:val="00C83D62"/>
    <w:rsid w:val="00CA2EA3"/>
    <w:rsid w:val="00CA582E"/>
    <w:rsid w:val="00D259F9"/>
    <w:rsid w:val="00D25E9B"/>
    <w:rsid w:val="00D37A6B"/>
    <w:rsid w:val="00D563CD"/>
    <w:rsid w:val="00D72B1F"/>
    <w:rsid w:val="00D73C2B"/>
    <w:rsid w:val="00D8395F"/>
    <w:rsid w:val="00D9108D"/>
    <w:rsid w:val="00D964D4"/>
    <w:rsid w:val="00DA5DAF"/>
    <w:rsid w:val="00DD150E"/>
    <w:rsid w:val="00DE2C19"/>
    <w:rsid w:val="00DE720C"/>
    <w:rsid w:val="00DF29D5"/>
    <w:rsid w:val="00E308BA"/>
    <w:rsid w:val="00E4100A"/>
    <w:rsid w:val="00E7194D"/>
    <w:rsid w:val="00E82F2E"/>
    <w:rsid w:val="00E915D1"/>
    <w:rsid w:val="00EF2046"/>
    <w:rsid w:val="00EF50C3"/>
    <w:rsid w:val="00F14EDF"/>
    <w:rsid w:val="00F21D42"/>
    <w:rsid w:val="00F60051"/>
    <w:rsid w:val="00F743B0"/>
    <w:rsid w:val="00F811D9"/>
    <w:rsid w:val="00F90652"/>
    <w:rsid w:val="00FA00E2"/>
    <w:rsid w:val="00FC3F92"/>
    <w:rsid w:val="00FF1ED5"/>
    <w:rsid w:val="00FF387B"/>
    <w:rsid w:val="02276945"/>
    <w:rsid w:val="0357CF65"/>
    <w:rsid w:val="03804839"/>
    <w:rsid w:val="04D70E87"/>
    <w:rsid w:val="06DB4F48"/>
    <w:rsid w:val="07861D5F"/>
    <w:rsid w:val="07CEBD4F"/>
    <w:rsid w:val="096EBF01"/>
    <w:rsid w:val="0D072149"/>
    <w:rsid w:val="0FA2B68E"/>
    <w:rsid w:val="0FDA0B6C"/>
    <w:rsid w:val="12C029E1"/>
    <w:rsid w:val="12FD940F"/>
    <w:rsid w:val="15F3E52C"/>
    <w:rsid w:val="17FE8A15"/>
    <w:rsid w:val="191DF747"/>
    <w:rsid w:val="1957B926"/>
    <w:rsid w:val="199B369D"/>
    <w:rsid w:val="1AE3335D"/>
    <w:rsid w:val="1E1131D2"/>
    <w:rsid w:val="2097370E"/>
    <w:rsid w:val="236FE534"/>
    <w:rsid w:val="25248FDE"/>
    <w:rsid w:val="275D6DE9"/>
    <w:rsid w:val="2764EE11"/>
    <w:rsid w:val="2C2DFB90"/>
    <w:rsid w:val="314CC5DD"/>
    <w:rsid w:val="3286D0A8"/>
    <w:rsid w:val="3ABC0317"/>
    <w:rsid w:val="3B2E0459"/>
    <w:rsid w:val="3ECF25CB"/>
    <w:rsid w:val="3FB2BF28"/>
    <w:rsid w:val="3FED9429"/>
    <w:rsid w:val="40ED3001"/>
    <w:rsid w:val="4824730A"/>
    <w:rsid w:val="48A3C006"/>
    <w:rsid w:val="48DD6173"/>
    <w:rsid w:val="491F6E86"/>
    <w:rsid w:val="4B2D524E"/>
    <w:rsid w:val="4C53C21A"/>
    <w:rsid w:val="500914F3"/>
    <w:rsid w:val="525F8098"/>
    <w:rsid w:val="53340340"/>
    <w:rsid w:val="54D08EFD"/>
    <w:rsid w:val="564A34A8"/>
    <w:rsid w:val="5765918E"/>
    <w:rsid w:val="57EDB3AD"/>
    <w:rsid w:val="594E5AF3"/>
    <w:rsid w:val="5C5BA3E3"/>
    <w:rsid w:val="5CE28FE9"/>
    <w:rsid w:val="60E4AA13"/>
    <w:rsid w:val="66B80C09"/>
    <w:rsid w:val="69C8ECEF"/>
    <w:rsid w:val="69D307DC"/>
    <w:rsid w:val="6BD23622"/>
    <w:rsid w:val="6BD920D7"/>
    <w:rsid w:val="6E6A156E"/>
    <w:rsid w:val="6FA52C59"/>
    <w:rsid w:val="70309237"/>
    <w:rsid w:val="777BDF9B"/>
    <w:rsid w:val="7A9E6861"/>
    <w:rsid w:val="7B049365"/>
    <w:rsid w:val="7D4CB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DA"/>
  </w:style>
  <w:style w:type="paragraph" w:styleId="Nagwek1">
    <w:name w:val="heading 1"/>
    <w:basedOn w:val="Normalny"/>
    <w:next w:val="Normalny"/>
    <w:uiPriority w:val="9"/>
    <w:qFormat/>
    <w:rsid w:val="00EF20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EF20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EF20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F204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F204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63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63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63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EF20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F204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7E6F8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6F88"/>
    <w:rPr>
      <w:rFonts w:ascii="Verdana" w:eastAsia="Times New Roman" w:hAnsi="Verdana" w:cs="Times New Roman"/>
      <w:sz w:val="24"/>
      <w:szCs w:val="20"/>
    </w:rPr>
  </w:style>
  <w:style w:type="paragraph" w:customStyle="1" w:styleId="Oddzia">
    <w:name w:val="Oddział"/>
    <w:basedOn w:val="Normalny"/>
    <w:link w:val="OddziaZnak"/>
    <w:qFormat/>
    <w:rsid w:val="007E6F88"/>
    <w:pPr>
      <w:spacing w:after="0" w:line="240" w:lineRule="auto"/>
      <w:jc w:val="right"/>
    </w:pPr>
    <w:rPr>
      <w:rFonts w:ascii="Asap" w:hAnsi="Asap" w:cs="Times New Roman"/>
      <w:color w:val="8D8AB0"/>
      <w:sz w:val="26"/>
      <w:szCs w:val="26"/>
    </w:rPr>
  </w:style>
  <w:style w:type="character" w:customStyle="1" w:styleId="OddziaZnak">
    <w:name w:val="Oddział Znak"/>
    <w:link w:val="Oddzia"/>
    <w:rsid w:val="007E6F88"/>
    <w:rPr>
      <w:rFonts w:ascii="Asap" w:eastAsia="Calibri" w:hAnsi="Asap" w:cs="Times New Roman"/>
      <w:color w:val="8D8AB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88"/>
  </w:style>
  <w:style w:type="paragraph" w:styleId="Tekstpodstawowy2">
    <w:name w:val="Body Text 2"/>
    <w:basedOn w:val="Normalny"/>
    <w:link w:val="Tekstpodstawowy2Znak"/>
    <w:semiHidden/>
    <w:rsid w:val="00F76795"/>
    <w:pPr>
      <w:spacing w:after="200" w:line="276" w:lineRule="auto"/>
      <w:jc w:val="both"/>
    </w:pPr>
    <w:rPr>
      <w:rFonts w:ascii="Bookman Old Style" w:hAnsi="Bookman Old Style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6795"/>
    <w:rPr>
      <w:rFonts w:ascii="Bookman Old Style" w:eastAsia="Calibri" w:hAnsi="Bookman Old Style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67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67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841A9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96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A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CW_Lista,wypunktowanie,normalny tekst,L1,Akapit z listą5,Numerowanie,Akapit z listą BS,Kolorowa lista — akcent 11,sw tekst,Podsis rysunku,Akapit normalny,Akapit z listą1,List Paragraph2,lp1,Preambuła,Dot pt,Lista - poziom 1,Lista num,lp11"/>
    <w:basedOn w:val="Normalny"/>
    <w:link w:val="AkapitzlistZnak"/>
    <w:uiPriority w:val="34"/>
    <w:qFormat/>
    <w:rsid w:val="009C3C94"/>
    <w:pPr>
      <w:spacing w:after="0" w:line="320" w:lineRule="exact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9C3C9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omylny">
    <w:name w:val="Domyślny"/>
    <w:qFormat/>
    <w:rsid w:val="005D7FBF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9532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CW_Lista Znak,wypunktowanie Znak,normalny tekst Znak,L1 Znak,Akapit z listą5 Znak,Numerowanie Znak,Akapit z listą BS Znak,Kolorowa lista — akcent 11 Znak,sw tekst Znak,Podsis rysunku Znak,Akapit normalny Znak,Akapit z listą1 Znak"/>
    <w:link w:val="Akapitzlist"/>
    <w:uiPriority w:val="34"/>
    <w:qFormat/>
    <w:locked/>
    <w:rsid w:val="00C4575B"/>
    <w:rPr>
      <w:rFonts w:ascii="Calibri" w:eastAsia="Times New Roman" w:hAnsi="Calibri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EF20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F20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EF20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EF20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0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0987"/>
    <w:rPr>
      <w:b/>
      <w:bCs/>
      <w:sz w:val="20"/>
      <w:szCs w:val="20"/>
    </w:rPr>
  </w:style>
  <w:style w:type="character" w:styleId="Hipercze">
    <w:name w:val="Hyperlink"/>
    <w:rsid w:val="009606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56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6D9D"/>
  </w:style>
  <w:style w:type="character" w:styleId="Tekstzastpczy">
    <w:name w:val="Placeholder Text"/>
    <w:basedOn w:val="Domylnaczcionkaakapitu"/>
    <w:uiPriority w:val="99"/>
    <w:semiHidden/>
    <w:rsid w:val="0078563D"/>
    <w:rPr>
      <w:color w:val="808080"/>
    </w:rPr>
  </w:style>
  <w:style w:type="character" w:customStyle="1" w:styleId="normaltextrun">
    <w:name w:val="normaltextrun"/>
    <w:basedOn w:val="Domylnaczcionkaakapitu"/>
    <w:rsid w:val="0078563D"/>
  </w:style>
  <w:style w:type="paragraph" w:styleId="NormalnyWeb">
    <w:name w:val="Normal (Web)"/>
    <w:basedOn w:val="Normalny"/>
    <w:uiPriority w:val="99"/>
    <w:unhideWhenUsed/>
    <w:qFormat/>
    <w:rsid w:val="007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63D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6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Punktparagrafu">
    <w:name w:val="Punkt paragrafu"/>
    <w:basedOn w:val="Akapitzlist"/>
    <w:qFormat/>
    <w:rsid w:val="000B3778"/>
    <w:pPr>
      <w:suppressAutoHyphens/>
      <w:spacing w:before="240" w:after="240" w:line="240" w:lineRule="auto"/>
      <w:ind w:hanging="10"/>
      <w:contextualSpacing w:val="0"/>
      <w:jc w:val="both"/>
      <w:textAlignment w:val="baseline"/>
    </w:pPr>
    <w:rPr>
      <w:rFonts w:ascii="Cambria" w:eastAsia="Calibri" w:hAnsi="Cambr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RLNBLqArXWCpq1Z0GFcJtE5ow==">CgMxLjAyDmguYnpuMDk0eXg1dDQ2OAByITFLcVN2QzcySGJSVHRNTmxFZGo5UlNBbzRGdkJ0bjRfbg==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814048-9E4A-45C3-A8A2-D5FB818B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Pazoła</dc:creator>
  <cp:lastModifiedBy>g.pawlowska</cp:lastModifiedBy>
  <cp:revision>3</cp:revision>
  <dcterms:created xsi:type="dcterms:W3CDTF">2026-02-12T12:56:00Z</dcterms:created>
  <dcterms:modified xsi:type="dcterms:W3CDTF">2026-02-12T13:30:00Z</dcterms:modified>
</cp:coreProperties>
</file>