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0115B0" w:rsidTr="00331A9F">
        <w:trPr>
          <w:trHeight w:val="255"/>
        </w:trPr>
        <w:tc>
          <w:tcPr>
            <w:tcW w:w="9854" w:type="dxa"/>
          </w:tcPr>
          <w:p w:rsidR="000115B0" w:rsidRDefault="000115B0" w:rsidP="00B62F38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Załącznik nr</w:t>
            </w:r>
            <w:r w:rsidR="00B62F3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 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 SWZ</w:t>
            </w:r>
          </w:p>
        </w:tc>
      </w:tr>
      <w:tr w:rsidR="000115B0" w:rsidTr="00331A9F">
        <w:trPr>
          <w:trHeight w:val="464"/>
        </w:trPr>
        <w:tc>
          <w:tcPr>
            <w:tcW w:w="9854" w:type="dxa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I. OPIS PRZEDMIOTU ZAMÓWIENIA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ZESTAWIENIE PARAMETRÓW</w:t>
            </w:r>
            <w:r w:rsidR="0012222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TECHNICZNO-UŻYTKOWYCH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/SPECYFIKACJA TECHNICZNA</w:t>
            </w:r>
          </w:p>
        </w:tc>
      </w:tr>
      <w:tr w:rsidR="000115B0" w:rsidTr="00331A9F">
        <w:trPr>
          <w:trHeight w:val="464"/>
        </w:trPr>
        <w:tc>
          <w:tcPr>
            <w:tcW w:w="9854" w:type="dxa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Przedmiot zamówienia: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Dostawa, instalacja oraz uruchomienie aparatu do mammografii cyfrowej z opcją </w:t>
            </w:r>
            <w:proofErr w:type="spellStart"/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mammografii spektralnej z możliwością wykonywania biopsji stereotaktycznej</w:t>
            </w:r>
          </w:p>
        </w:tc>
      </w:tr>
      <w:tr w:rsidR="000115B0" w:rsidTr="00331A9F">
        <w:trPr>
          <w:trHeight w:val="255"/>
        </w:trPr>
        <w:tc>
          <w:tcPr>
            <w:tcW w:w="9854" w:type="dxa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Nazwa/typ/nr katalogowy ................................................................</w:t>
            </w:r>
          </w:p>
        </w:tc>
      </w:tr>
      <w:tr w:rsidR="000115B0" w:rsidTr="00331A9F">
        <w:trPr>
          <w:trHeight w:val="255"/>
        </w:trPr>
        <w:tc>
          <w:tcPr>
            <w:tcW w:w="9854" w:type="dxa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Producent/kraj produkcji .................................................................</w:t>
            </w:r>
          </w:p>
        </w:tc>
      </w:tr>
    </w:tbl>
    <w:p w:rsidR="000115B0" w:rsidRDefault="000115B0" w:rsidP="000115B0">
      <w:pPr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9471" w:type="dxa"/>
        <w:tblLayout w:type="fixed"/>
        <w:tblLook w:val="04A0" w:firstRow="1" w:lastRow="0" w:firstColumn="1" w:lastColumn="0" w:noHBand="0" w:noVBand="1"/>
      </w:tblPr>
      <w:tblGrid>
        <w:gridCol w:w="829"/>
        <w:gridCol w:w="17"/>
        <w:gridCol w:w="32"/>
        <w:gridCol w:w="2945"/>
        <w:gridCol w:w="35"/>
        <w:gridCol w:w="8"/>
        <w:gridCol w:w="1746"/>
        <w:gridCol w:w="53"/>
        <w:gridCol w:w="1843"/>
        <w:gridCol w:w="35"/>
        <w:gridCol w:w="27"/>
        <w:gridCol w:w="29"/>
        <w:gridCol w:w="1610"/>
        <w:gridCol w:w="26"/>
        <w:gridCol w:w="236"/>
      </w:tblGrid>
      <w:tr w:rsidR="000115B0" w:rsidTr="00331A9F">
        <w:trPr>
          <w:trHeight w:val="476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I. PARAMETRY TECHNICZNE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L.p.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754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PARAMETRY WYMAGANE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POTWIERDZENIE WYKONAWCY TAK/NIE LUB OPIS PARAMETRÓW OFEROWANYCH (wypełnia Wykonawca)</w:t>
            </w: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PARAMETRY OCENIANE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Aparat fabrycznie nowy, w pełni cyfrowy, nie używany, nie dopuszcza się aparatów powystawowych,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nierekondycjonowany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, rok produkcji nie starszy niż 2026r.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Mammograf oraz monitory zgodne z Rozporządzeniem 2017/745 w sprawie wyrobów medycznych (MDR) bądź zgodne z Dyrektywą Rady 93/42/EEC (MDD) wraz z późniejszymi przepisami przejściowymi, potwierdzone deklaracją zgodności i/lub certyfikatem CE (w zależności od klasy wyrobu medycznego) oraz stosownymi oświadczeniami (jeśli wymaga)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Najważniejsze podzespoły, takie jak detektor, generator i statyw pochodzą od tego samego producenta lub posiadają udokumentowaną kompatybilność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28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II. GENERATOR WYSOKIEGO NAPIĘCIA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44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Generator wysokoczęstotliwościowy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52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Moc wyjściowa generatora ≥ 5 kW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32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Minimalna wartość wysokiego napięcia ≤ 25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96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Maksymalna wartość wysokiego napięcia ≥ 35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59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Dokładność regulacji wysokiego napięcia, skok ≤ 1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Automatyczna kompensacja zmian napięcia +/-10%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Cyfrowe wyświetlanie parametrów ekspozycji,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tj.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kV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mAs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, rodzaj filtra, materiał anody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609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III. LAMPA RTG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388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Anoda wirująca dwuogniskowa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Pojemność cieplna lampy (lub kołpaka z lampą zależnie od terminologii producenta) ≥ 500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kHU</w:t>
            </w:r>
            <w:proofErr w:type="spellEnd"/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Wykonawca zobowiązany jest podać pojemność cieplną zespołu lampy RTG i jej obudowy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TAK, podać 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Wielkość nominalna małego ogniska ≤ 0,1 mm mierzona zgodnie z IEC 60336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Wielkość nominalna dużego ogniska ≤ 0,3 mm mierzona zgodnie z IEC 60336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240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Filtracja dodatkowa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molibdenowo-rodowa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lub równoważna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58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15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IV. AUTOMATYKA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55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Automatyka doboru filtra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Automatyczna kolimacja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0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Automatyczna kontrola kompresji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3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Ręczna kontrola kompresji 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66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Automatyczna dekompresja po ekspozycji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396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dekompresji pacjentki w przypadku awarii systemu (manualna lub automatyczna) np. przy zaniku napięcia zasilającego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260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Średnia dawka gruczołowa dla ekwiwalentu grubości piersi min. 20 – 80 mm w trybie 2D i 3D , poniżej dawek granicznych EUREF dla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screening’u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11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Informacja o średniej dawce gruczołowej (AGD) dla każdej wykonanej ekspozycji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28"/>
        </w:trPr>
        <w:tc>
          <w:tcPr>
            <w:tcW w:w="9235" w:type="dxa"/>
            <w:gridSpan w:val="14"/>
            <w:shd w:val="clear" w:color="auto" w:fill="auto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V. STATYW MAMMOGRAFICZNY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00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Statyw wolnostojący z generatorem zintegrowanym w mammografie (generator zabudowany w statywie)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68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Minimalna wysokość górnej powierzchni stolika od podłogi ≥ 70 cm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05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Maksymalna wysokość górnej powierzchni stolika od podłogi ≥ 135 cm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21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Zakres obrotu głowicy dla badań ≥ 350</w:t>
            </w:r>
            <w:r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59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pStyle w:val="NormalnyWeb"/>
              <w:spacing w:beforeAutospacing="0" w:after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Możliwość ustawienia głowicy w pozycji -180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o 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(detektor na górze, lampa na dole)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ustawienia głowicy (lampy RTG) w pozycji parkingowej (lampa wycofana z pozycji prostopadłej do detektora) min. dla projekcji MLO w celu poprawienia technikowi dostępu do pacjenta podczas pozycjonowania piersi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21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Odległość ognisko - detektor obrazu ≥ 65 cm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45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Zestaw do zdjęć powiększonych z możliwością wykonywania zdjęć z powiększeniami min. 1,5x i 1,8x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46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System do zdjęć z punktową kompresją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Sterowanie ruchem płytki dociskowej góra/dół oraz ruchu głowicy góra/dół ręcznie (przyciski lub pokrętła) oraz przy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pomocy przycisków nożnych (dwa zestawy przycisków nożnych). Możliwość dodatkowej korekty ucisku przy pomocy pokrętła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65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Funkcja zmniejszająca ciśnienie ucisku wykorzystująca zjawisko histerezy tkanek w celu redukcji bólu piersi podczas ucisku.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Komplet płytek do kompresji dla wszystkich formatów ekspozycji: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- płytka dużego formatu o wymiarach min. 24 (±1) cm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x 30 (±1) cm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- płytka do zdjęć celowanych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płytka do zdjęć z powiększeniem wraz z zestawem do powiększeń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- płytka małego formatu o wymiarach 19 (±1) cm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x 24 (±1) cm z możliwością przesuwania części uciskającej wzdłuż dłuższej krawędzi detektora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jeżeli badanie 3D nie jest możliwe do realizacji wyżej wymienionymi płytkami należy dostarczyć dodatkową płytkę do badań 3D (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Rozwiązanie wpływające na poprawę komfortu pacjentki: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Dodatkowa płytka uciskowa dużego formatu z możliwością odchylania części uciskającej od płaszczyzny poziomej (uciski typu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Flex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) w trakcie ucisku celem dopasowania się do kształtu piersi.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97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Osłona twarzy pacjentki 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164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Automatyczne rozpoznawanie wielkości zainstalowanej płytki dociskowej i automatyczne dopasowywanie kolimacji do tej wielkości (autodetekcja)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Funkcja mapowania piersi wspierająca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elektroradiologa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w ułożeniu piersi, polegająca na odwzorowaniu linii skóry i położenia sutka na powierzchni detektora na podstawie poprzedniego badania lub odwzorowania lustrzanego odbicia badania pierwszej piersi przy układaniu drugiej piersi dla pierwszorazowych pacjentów.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Funkcja automatycznej analizy jakości pozycjonowania pacjentki na podstawie wykonanych obrazów mammograficznych, obejmująca wyznaczanie punktów referencyjnych oraz porównanie ich z wartościami wzorcowymi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59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Na wyświetlaczu obudowy aparatu wyświetlanie min. imię i nazwisko pacjenta, kąt lampy, grubość piersi po uciśnięciu oraz siła ucisku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392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VI. TOMOSYNTEZA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93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Funkcje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mammograficznej, oprogramowanie 3D (obrazowanie 3D)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51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Zakres ruchu lampy RTG podczas wykonywania badań 3D (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) ≥ 40</w:t>
            </w:r>
            <w:r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≥ 40</w:t>
            </w:r>
            <w:r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o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&lt;40</w:t>
            </w:r>
            <w:r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 xml:space="preserve">o </w:t>
            </w:r>
            <w:r>
              <w:rPr>
                <w:rFonts w:ascii="Calibri" w:eastAsia="Arial" w:hAnsi="Calibri" w:cs="Calibri"/>
                <w:sz w:val="20"/>
                <w:szCs w:val="20"/>
              </w:rPr>
              <w:t>– 5pkt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45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Dodatkowy tryb badania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5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44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Najkrótszy czas skanowania piersi podczas badania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, od wyzwolenia pierwszego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impulsudawki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do ostatniego impulsu łącznie z czasem ruchu głowicy ≤ 25 s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02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Możliwość otrzymania zdjęć diagnostycznych 2D z syntezy zdjęć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Możliwość uzyskania tradycyjnego obrazu mammograficznego i zestawu zdjęć do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w trakcie jednego cyklu – bez uwalniania ucisku piersi (w celu porównania obu obrazów w tym samym położeniu piersi)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1852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Rozdzielczość zdjęć używanych do rekonstrukcji wolumetrycznej 3D (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) taka sama jak rozdzielczość zdjęć mammograficznych 2D w przynajmniej jednym trybie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601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VII. MAMMOGRAFIA DWUENERGETYCZNA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49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Funkcja wykonywania badań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dwuenergetycznych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ze środkiem kontrastowym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67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Algorytm rekonstrukcji obrazów badań spektralnych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55"/>
        </w:trPr>
        <w:tc>
          <w:tcPr>
            <w:tcW w:w="9235" w:type="dxa"/>
            <w:gridSpan w:val="14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VIII. DETEKTOR CYFROWY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Detektor cyfrowy oparty na amorficznym półprzewodniku selenowym o wymiarach min. 23 cm x 29 cm, w technologii TFT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TAK- 10 pkt</w:t>
            </w:r>
          </w:p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NIE- 0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Format obrazowania min. 24 (±1) cm x 30 (±1) cm oraz 19 (±1) cm x 24 (±1) cm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Bezpośrednie przetwarzanie promieniowania RTG w sygnał obrazowy (bez pośredniej zamiany na światło)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TAK-10 pkt</w:t>
            </w:r>
          </w:p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NIE-0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Czas pomiędzy zakończeniem ekspozycji a wyświetleniem obrazu na monitorze ≤ 15 s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Matryca detektora dla maksymalnego formatu ≥ 13Mpix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Rozmiar piksela ≤ 70 µm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402DCA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2DCA">
              <w:rPr>
                <w:rFonts w:ascii="Calibri" w:eastAsia="Arial" w:hAnsi="Calibri" w:cs="Calibri"/>
                <w:sz w:val="20"/>
                <w:szCs w:val="20"/>
              </w:rPr>
              <w:t>≤70 µm – 10 pkt</w:t>
            </w:r>
          </w:p>
          <w:p w:rsidR="000115B0" w:rsidRPr="00402DCA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color w:val="00B050"/>
                <w:sz w:val="20"/>
                <w:szCs w:val="20"/>
              </w:rPr>
            </w:pPr>
            <w:r w:rsidRPr="00402DCA">
              <w:rPr>
                <w:rFonts w:ascii="Calibri" w:eastAsia="Arial" w:hAnsi="Calibri" w:cs="Calibri"/>
                <w:sz w:val="20"/>
                <w:szCs w:val="20"/>
              </w:rPr>
              <w:t>&gt;70 µm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Kratki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przeciwrozproszeniowe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dwóch formatów lub kratka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przeciwrozproszeniowa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z konstrukcją umożliwiającą rejestrację obrazów w dwóch formatach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Czas pomiędzy ekspozycjami diagnostycznymi 2D max. 25 sek.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&lt; 25 sek.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≥ 25 sek.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Czas pomiędzy zakończeniem ekspozycji a wyświetleniem obrazu na monitorze max. 15 sek.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≤ 15 s 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&gt; 15 s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Motorowe wysuwanie kratki z toru promieniowanie podczas zdjęć z powiększeniem i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tomosyntezą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Odległość od krawędzi stolika od strony klatki piersiowej do czynnej krawędzi detektora max 5 mm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Grubość osłony detektora od strony klatki piersiowej max. 85 mm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≤85 mm– 10 pkt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&gt;85 mm – 0 pkt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Obudowa detektora z wycięciem na dolnej krawędzi stolika od strony klatki piersiowej w celu ułatwienia pozycjonowania pacjentki.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TAK/ NIE,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 – 5 pkt.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NIE – 0 pkt.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Detektor z możliwością kalibracji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78"/>
        </w:trPr>
        <w:tc>
          <w:tcPr>
            <w:tcW w:w="9235" w:type="dxa"/>
            <w:gridSpan w:val="14"/>
          </w:tcPr>
          <w:p w:rsidR="000115B0" w:rsidRDefault="000115B0" w:rsidP="00331A9F">
            <w:pPr>
              <w:pStyle w:val="Akapitzlist"/>
              <w:spacing w:after="0" w:line="240" w:lineRule="auto"/>
              <w:ind w:left="1440"/>
              <w:rPr>
                <w:rFonts w:ascii="Calibri" w:hAnsi="Calibri" w:cs="Calibri"/>
                <w:b/>
                <w:bCs/>
                <w:sz w:val="8"/>
                <w:szCs w:val="20"/>
              </w:rPr>
            </w:pPr>
          </w:p>
          <w:p w:rsidR="000115B0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BIOPSJA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Oferowany aparat musi zapewnić funkcjonalność umożliwiającą wykonywanie biopsji.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Dostarczenie dedykowanego fotela do biopsji z możliwością wykonania procedury w pozycji siedzącej i leżącej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Zakres obrotu lampy dla wykonania procedur stereotaktycznych, min 30°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Dokładność pozycjonowania igły biopsyjnej we wszystkich kierunkach nie gorsza niż +/-2 mm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Możliwość wykonywania biopsji pod kontrolą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Możliwość wykonywania biopsji pod kontrolą mammografii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dwuenergetycznej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wykonywania biopsji wertykalnej i lateralnej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64"/>
        </w:trPr>
        <w:tc>
          <w:tcPr>
            <w:tcW w:w="9235" w:type="dxa"/>
            <w:gridSpan w:val="14"/>
          </w:tcPr>
          <w:p w:rsidR="000115B0" w:rsidRDefault="000115B0" w:rsidP="00331A9F">
            <w:pPr>
              <w:pStyle w:val="Akapitzlist"/>
              <w:spacing w:after="0" w:line="240" w:lineRule="auto"/>
              <w:ind w:left="1440"/>
              <w:rPr>
                <w:rFonts w:ascii="Calibri" w:hAnsi="Calibri" w:cs="Calibri"/>
                <w:b/>
                <w:bCs/>
                <w:sz w:val="14"/>
                <w:szCs w:val="20"/>
              </w:rPr>
            </w:pPr>
          </w:p>
          <w:p w:rsidR="000115B0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KONSOLA TECHNIKA - STACJA AKWIZYCYJNA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Monitor, komputer, klawiatura obsługowa, mysz, pulpit ekspozycji (stanowisko - konsola technika)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Pamięć operacyjna RAM  min.32GB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Liczba zapamiętanych obrazów bez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kompresii</w:t>
            </w:r>
            <w:proofErr w:type="spellEnd"/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Nagrywarka umożliwiająca zapis obrazów na CD i / lub DVD w formacie DICOM również w trybie „for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processing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>”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akceptacji bądź odrzucenia obrazu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Wyświetlanie zdjęcia podglądowego każdorazowo po wykonaniu projekcji mammograficznej z możliwością akceptacji bądź odrzucenia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 xml:space="preserve">Interfejs sieciowy min 1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  <w:szCs w:val="20"/>
              </w:rPr>
              <w:t>Gb</w:t>
            </w:r>
            <w:proofErr w:type="spellEnd"/>
            <w:r w:rsidRPr="003F5D1F">
              <w:rPr>
                <w:rFonts w:ascii="Calibri" w:eastAsia="Arial" w:hAnsi="Calibri" w:cs="Calibri"/>
                <w:sz w:val="20"/>
                <w:szCs w:val="20"/>
              </w:rPr>
              <w:t>/s z możliwością wpięcia kabla sieciowego RJ45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 xml:space="preserve">Mammograf wyposażony w interfejs sieciowy 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z funkcjonalnościami: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>- DICOM Send,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Store,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Storage Commitment,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Basic Print,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Query/</w:t>
            </w:r>
            <w:proofErr w:type="spellStart"/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>Retrive</w:t>
            </w:r>
            <w:proofErr w:type="spellEnd"/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, </w:t>
            </w:r>
          </w:p>
          <w:p w:rsidR="000115B0" w:rsidRPr="000C3114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Modality Worklist,</w:t>
            </w:r>
          </w:p>
          <w:p w:rsidR="000115B0" w:rsidRPr="000C3114" w:rsidRDefault="000115B0" w:rsidP="00331A9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  <w:lang w:val="en-GB"/>
              </w:rPr>
              <w:t xml:space="preserve"> - DICOM Modality Performed Procedure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0C3114" w:rsidRDefault="000115B0" w:rsidP="00331A9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Arial" w:eastAsia="Arial" w:hAnsi="Arial" w:cs="Arial"/>
                <w:color w:val="C9211E"/>
              </w:rPr>
            </w:pPr>
            <w:r w:rsidRPr="000C3114">
              <w:rPr>
                <w:rFonts w:ascii="Calibri" w:hAnsi="Calibri" w:cs="Calibri"/>
                <w:sz w:val="20"/>
                <w:szCs w:val="20"/>
              </w:rPr>
              <w:t xml:space="preserve">Komunikacja poprzez </w:t>
            </w:r>
            <w:r w:rsidRPr="000C3114">
              <w:rPr>
                <w:rFonts w:ascii="Calibri" w:hAnsi="Calibri" w:cs="Calibri"/>
                <w:sz w:val="20"/>
              </w:rPr>
              <w:t xml:space="preserve">DICOM </w:t>
            </w:r>
            <w:proofErr w:type="spellStart"/>
            <w:r w:rsidRPr="000C3114">
              <w:rPr>
                <w:rFonts w:ascii="Calibri" w:hAnsi="Calibri" w:cs="Calibri"/>
                <w:sz w:val="20"/>
              </w:rPr>
              <w:t>Conformance</w:t>
            </w:r>
            <w:proofErr w:type="spellEnd"/>
            <w:r w:rsidRPr="000C3114">
              <w:rPr>
                <w:rFonts w:ascii="Calibri" w:hAnsi="Calibri" w:cs="Calibri"/>
                <w:sz w:val="20"/>
              </w:rPr>
              <w:t xml:space="preserve"> Statement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Arial" w:eastAsia="Arial" w:hAnsi="Arial" w:cs="Arial"/>
                <w:color w:val="C9211E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automatycznej dystrybucji obrazów do zdefiniowanych wcześniej miejsc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Możliwość automatycznego wprowadzenia parametrów ekspozycji i połączenia ich z obrazem cyfrowym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Zakres dynamiki obrazu zapisanego i eksportowanego do stacji opisowej (po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postprocessingu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, obraz „for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presentation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”) 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Funkcje:</w:t>
            </w:r>
          </w:p>
          <w:p w:rsidR="000115B0" w:rsidRDefault="000115B0" w:rsidP="00331A9F">
            <w:pPr>
              <w:spacing w:after="0" w:line="240" w:lineRule="auto"/>
              <w:ind w:left="432" w:hanging="43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- powiększenie </w:t>
            </w:r>
          </w:p>
          <w:p w:rsidR="000115B0" w:rsidRDefault="000115B0" w:rsidP="00331A9F">
            <w:pPr>
              <w:spacing w:after="0" w:line="240" w:lineRule="auto"/>
              <w:ind w:left="432" w:hanging="43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pomiary długości</w:t>
            </w:r>
          </w:p>
          <w:p w:rsidR="000115B0" w:rsidRDefault="000115B0" w:rsidP="00331A9F">
            <w:pPr>
              <w:spacing w:after="0" w:line="240" w:lineRule="auto"/>
              <w:ind w:left="432" w:hanging="43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-- nanoszenie znaczników mammograficznych w postaci graficznej i / lub literowej bezpośrednio z klawiatury obsługowej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Możliwość manualnego wprowadzenia danych demograficznych pacjenta 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Uwierzytelnianie użytkownika poprzez logowanie system haseł lub elektroniczną kartą użytkownika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Oprogramowanie do analizy zdjęć odrzuconych i powtórzonych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Import plików DICOM z zewnętrznego nośnika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9235" w:type="dxa"/>
            <w:gridSpan w:val="14"/>
          </w:tcPr>
          <w:p w:rsidR="000115B0" w:rsidRPr="003F5D1F" w:rsidRDefault="000115B0" w:rsidP="00331A9F">
            <w:pPr>
              <w:pStyle w:val="Akapitzlist"/>
              <w:spacing w:after="0" w:line="240" w:lineRule="auto"/>
              <w:ind w:left="1440"/>
              <w:rPr>
                <w:rFonts w:ascii="Calibri" w:hAnsi="Calibri" w:cs="Calibri"/>
                <w:b/>
                <w:bCs/>
                <w:sz w:val="6"/>
                <w:szCs w:val="20"/>
              </w:rPr>
            </w:pPr>
          </w:p>
          <w:p w:rsidR="000115B0" w:rsidRPr="003F5D1F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b/>
                <w:sz w:val="20"/>
                <w:szCs w:val="20"/>
              </w:rPr>
              <w:t>STACJA LEKARSKA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Stacja diagnostyczna w pełni kompatybilna z zaoferowanym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mammografem i wszystkimi wymaganymi funkcjonalnościami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Stacja opisowa do mammografii spełniająca wymagania Rozporządzenia Ministra Zdrowia z 11 stycznia 2023 r. w sprawie warunków bezpiecznego stosowania promieniowania jonizującego dla wszystkich rodzajów ekspozycji medycznej oraz Rozporządzenia Ministra Zdrowia z dnia 6 listopada 2013 r. w sprawie świadczeń gwarantowanych w zakresie programów zdrowotnych.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eastAsia="Arial" w:hAnsi="Calibri" w:cs="Calibri"/>
                <w:sz w:val="20"/>
                <w:szCs w:val="20"/>
              </w:rPr>
              <w:t xml:space="preserve">Stacja opisowa do mammografii musi posiadać 2 monitory diagnostyczne 5MP każdy, klasy medycznej dedykowany do diagnostyki mammograficznej, </w:t>
            </w:r>
            <w:r w:rsidRPr="00A26E50">
              <w:rPr>
                <w:rFonts w:ascii="Calibri" w:eastAsia="Arial" w:hAnsi="Calibri" w:cs="Calibri"/>
                <w:sz w:val="20"/>
              </w:rPr>
              <w:t>spasowane oba monitory monochromatyczne w układzie pionowym (tzw. para ze świadectwem parowania od producenta), przekątna ekranu min. 21,3” w formacie 3:4 lub 4:3, luminacja robocza min. 600cd/m2 po kalibracji do krzywej DICOM, kontrast statyczny min. 1500:1 (wartości fabryczne od 1400:1 do 2200:1 dla głębokiej czerni), kalibracja: obowiązkowa zgodność ze standardem DICOM Part 14 oraz wbudowany przedni czujnik (front sensor) do automatycznej kontroli jakości.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A26E5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26E50">
              <w:rPr>
                <w:rFonts w:ascii="Calibri" w:eastAsia="Arial" w:hAnsi="Calibri" w:cs="Calibri"/>
                <w:sz w:val="20"/>
                <w:szCs w:val="20"/>
              </w:rPr>
              <w:t xml:space="preserve">Stacja opisowa do mammografii musi posiadać 1 monitor techniczny o przekątnej min. 27” i rozdzielczości 1920x1080 </w:t>
            </w:r>
            <w:proofErr w:type="spellStart"/>
            <w:r w:rsidRPr="00A26E50">
              <w:rPr>
                <w:rFonts w:ascii="Calibri" w:eastAsia="Arial" w:hAnsi="Calibri" w:cs="Calibri"/>
                <w:sz w:val="20"/>
                <w:szCs w:val="20"/>
              </w:rPr>
              <w:t>niediagnostyczny</w:t>
            </w:r>
            <w:proofErr w:type="spellEnd"/>
            <w:r w:rsidRPr="00A26E50">
              <w:rPr>
                <w:rFonts w:ascii="Calibri" w:eastAsia="Arial" w:hAnsi="Calibri" w:cs="Calibri"/>
                <w:sz w:val="20"/>
                <w:szCs w:val="20"/>
              </w:rPr>
              <w:t xml:space="preserve"> do obsługi systemów RIS/PACS/HIS 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A26E5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A26E50">
              <w:rPr>
                <w:rFonts w:ascii="Calibri" w:hAnsi="Calibri" w:cs="Calibri"/>
                <w:sz w:val="20"/>
              </w:rPr>
              <w:t>System operacyjny 64-bit klasy profesjonalnej/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enterprise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, wspierany i 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zwalidowany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 przez producenta stacji diagnostycznej, z zapewnionymi aktualizacjami bezpieczeństwa przez okres co najmniej gwarancji.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0C3114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0C3114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 xml:space="preserve">Pamięć operacyjna RAM </w:t>
            </w:r>
            <w:r w:rsidRPr="000C3114">
              <w:rPr>
                <w:rFonts w:ascii="Calibri" w:eastAsia="Arial" w:hAnsi="Calibri" w:cs="Calibri"/>
                <w:sz w:val="20"/>
                <w:szCs w:val="20"/>
              </w:rPr>
              <w:br/>
              <w:t>min. 64 GB.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0C3114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hAnsi="Calibri" w:cs="Calibri"/>
                <w:sz w:val="20"/>
              </w:rPr>
              <w:t xml:space="preserve">Pamięć masowa SSD 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NVMe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 o łącznej pojemności użytkowej min. 2 TB, zapewniająca wydajność odpowiednią do płynnej obsługi badań mammograficznych 2D, 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tomosyntezy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 3D, badań kontrastowych oraz badań porównawczych.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hAnsi="Calibri" w:cs="Calibri"/>
                <w:sz w:val="20"/>
                <w:szCs w:val="20"/>
              </w:rPr>
              <w:t xml:space="preserve">Interfejs sieciowy Ethernet min. 1 </w:t>
            </w:r>
            <w:proofErr w:type="spellStart"/>
            <w:r w:rsidRPr="00A26E50">
              <w:rPr>
                <w:rFonts w:ascii="Calibri" w:hAnsi="Calibri" w:cs="Calibri"/>
                <w:sz w:val="20"/>
                <w:szCs w:val="20"/>
              </w:rPr>
              <w:t>Gb</w:t>
            </w:r>
            <w:proofErr w:type="spellEnd"/>
            <w:r w:rsidRPr="00A26E50">
              <w:rPr>
                <w:rFonts w:ascii="Calibri" w:hAnsi="Calibri" w:cs="Calibri"/>
                <w:sz w:val="20"/>
                <w:szCs w:val="20"/>
              </w:rPr>
              <w:t>/s (1000BASE-T), złącze RJ45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A26E5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hAnsi="Calibri" w:cs="Calibri"/>
                <w:sz w:val="20"/>
              </w:rPr>
              <w:t xml:space="preserve">Dedykowana karta graficzna / kontroler obrazu kompatybilny i 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zwalidowany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 do współpracy z oferowanymi monitorami diagnostycznymi oraz oprogramowaniem stacji diagnostycznej. Obsługa co najmniej 10-bitowej ścieżki wyświetlania obrazu dla monitorów diagnostycznych (1024 jednocześnie wyświetlane poziomy szarości). Karta/kontroler musi zapewniać jednoczesną pracę dwóch monitorów diagnostycznych 5 MP oraz monitora dodatkowego w ich natywnych rozdzielczościach, z zachowaniem pełnej funkcjonalności diagnostycznej oferowanego systemu. Liczba i rodzaj złączy odpowiednie do zaoferowanej konfiguracji monitorów.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A26E5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6E50">
              <w:rPr>
                <w:rFonts w:ascii="Calibri" w:hAnsi="Calibri" w:cs="Calibri"/>
                <w:sz w:val="20"/>
                <w:szCs w:val="20"/>
              </w:rPr>
              <w:t xml:space="preserve">Komunikacja poprzez </w:t>
            </w:r>
            <w:r w:rsidRPr="00A26E50">
              <w:rPr>
                <w:rFonts w:ascii="Calibri" w:hAnsi="Calibri" w:cs="Calibri"/>
                <w:sz w:val="20"/>
              </w:rPr>
              <w:t xml:space="preserve">DICOM </w:t>
            </w:r>
            <w:proofErr w:type="spellStart"/>
            <w:r w:rsidRPr="00A26E50">
              <w:rPr>
                <w:rFonts w:ascii="Calibri" w:hAnsi="Calibri" w:cs="Calibri"/>
                <w:sz w:val="20"/>
              </w:rPr>
              <w:t>Conformance</w:t>
            </w:r>
            <w:proofErr w:type="spellEnd"/>
            <w:r w:rsidRPr="00A26E50">
              <w:rPr>
                <w:rFonts w:ascii="Calibri" w:hAnsi="Calibri" w:cs="Calibri"/>
                <w:sz w:val="20"/>
              </w:rPr>
              <w:t xml:space="preserve"> Statement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0C3114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Oddzielna klawiatura obsługowa dedykowana do przeglądania obrazów z badań mammograficznych z możliwością programowania funkcji i skrótów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Porównywanie dowolnie wybranych badań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 xml:space="preserve">Oprogramowanie do przeglądania obrazów 2D, syntetycznych 2D,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tomosyntezy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 xml:space="preserve"> 3D, badań kontrastowych, porównywania badań aktualnych i poprzednich, oraz udostępniania/oznaczania wybranych badań do dalszej pracy diagnostycznej, w tym do planowania badań dodatkowych lub dodatkowych projekcji, z uwzględnieniem integracji z obowiązującym oprogramowaniem CAD/AI albo rozwiązaniem równoważnym.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Oprogramowanie umożliwia analizę badań piersi różnych modalności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Funkcje diagnostyczne: Wyświetlanie porównawcze wybranych badań i projekcji, p</w:t>
            </w:r>
            <w:r w:rsidRPr="003F5D1F">
              <w:rPr>
                <w:rFonts w:ascii="Calibri" w:eastAsia="Arial" w:hAnsi="Calibri" w:cs="Calibri"/>
                <w:sz w:val="20"/>
              </w:rPr>
              <w:t xml:space="preserve">owiększanie, inwersja, pomiar, regulacja okna, synchronizacja projekcji, porównanie stron, prezentacja CC/MLO, przegląd warstw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tomosyntezy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 xml:space="preserve"> oraz inne narzędzia do pracy z badaniami poprzednimi  i wybranymi badaniami wymagającymi dalszej diagnostyki.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 xml:space="preserve">Obsługa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 w:rsidRPr="003F5D1F">
              <w:rPr>
                <w:rFonts w:ascii="Calibri" w:eastAsia="Arial" w:hAnsi="Calibri" w:cs="Calibri"/>
                <w:sz w:val="20"/>
                <w:szCs w:val="20"/>
              </w:rPr>
              <w:t xml:space="preserve">: 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 xml:space="preserve">Możliwość płynnego przeglądania </w:t>
            </w:r>
            <w:r w:rsidRPr="003F5D1F">
              <w:rPr>
                <w:rFonts w:ascii="Calibri" w:eastAsia="Arial" w:hAnsi="Calibri" w:cs="Calibri"/>
                <w:sz w:val="20"/>
              </w:rPr>
              <w:t xml:space="preserve">warstw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tomosyntezy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 xml:space="preserve"> i rekonstrukcji syntetycznych 2D.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</w:tcPr>
          <w:p w:rsidR="000115B0" w:rsidRPr="003F5D1F" w:rsidRDefault="000115B0" w:rsidP="00331A9F">
            <w:pPr>
              <w:pStyle w:val="Compact"/>
              <w:spacing w:before="0" w:after="0"/>
              <w:rPr>
                <w:rFonts w:ascii="Calibri" w:hAnsi="Calibri" w:cs="Calibri"/>
                <w:sz w:val="20"/>
              </w:rPr>
            </w:pPr>
            <w:proofErr w:type="spellStart"/>
            <w:r w:rsidRPr="003F5D1F">
              <w:rPr>
                <w:rFonts w:ascii="Calibri" w:hAnsi="Calibri" w:cs="Calibri"/>
                <w:sz w:val="20"/>
              </w:rPr>
              <w:t>Obsługa</w:t>
            </w:r>
            <w:proofErr w:type="spellEnd"/>
            <w:r w:rsidRPr="003F5D1F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3F5D1F">
              <w:rPr>
                <w:rFonts w:ascii="Calibri" w:hAnsi="Calibri" w:cs="Calibri"/>
                <w:sz w:val="20"/>
              </w:rPr>
              <w:t>kontrastu</w:t>
            </w:r>
            <w:proofErr w:type="spellEnd"/>
            <w:r w:rsidRPr="003F5D1F">
              <w:rPr>
                <w:rFonts w:ascii="Calibri" w:hAnsi="Calibri" w:cs="Calibri"/>
                <w:sz w:val="20"/>
              </w:rPr>
              <w:t>:</w:t>
            </w:r>
          </w:p>
          <w:p w:rsidR="000115B0" w:rsidRPr="003F5D1F" w:rsidRDefault="000115B0" w:rsidP="00331A9F">
            <w:pPr>
              <w:pStyle w:val="Compact"/>
              <w:spacing w:before="0" w:after="0"/>
              <w:rPr>
                <w:strike/>
                <w:lang w:val="pl-PL"/>
              </w:rPr>
            </w:pPr>
            <w:r w:rsidRPr="003F5D1F">
              <w:rPr>
                <w:rFonts w:ascii="Calibri" w:hAnsi="Calibri" w:cs="Calibri"/>
                <w:sz w:val="20"/>
                <w:lang w:val="pl-PL"/>
              </w:rPr>
              <w:t xml:space="preserve">Możliwość prezentacji obrazów niskoenergetycznych, wysokoenergetycznych i </w:t>
            </w:r>
            <w:proofErr w:type="spellStart"/>
            <w:r w:rsidRPr="003F5D1F">
              <w:rPr>
                <w:rFonts w:ascii="Calibri" w:hAnsi="Calibri" w:cs="Calibri"/>
                <w:sz w:val="20"/>
                <w:lang w:val="pl-PL"/>
              </w:rPr>
              <w:t>subtrakcyjnych</w:t>
            </w:r>
            <w:proofErr w:type="spellEnd"/>
            <w:r w:rsidRPr="003F5D1F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 xml:space="preserve">UPS: 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Zasilacz awaryjny UPS zapewniający min. 15 minut pracy na podtrzymaniu awaryjnym.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Oprogramowanie umożliwiające zmianę skali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dopasowania obrazu do ekranu, wyświetlania 1:1, w realnej skali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Funkcja powrotu do obrazu oryginalnego jednym przyciskiem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Zapisanie stanu wyświetlanego badania do późniejszego szybkiego go przywrócenia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Import plików DICOM z zewnętrznego nośnika (płyta CD/DVD, pendrive, dysk USB), udział sieciowy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Archiwizacja plików DICOM na płycie CD/DVD, pendrive, dysk USB, udział sieciowy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Integracja z posiadanym przez Zamawiającego systemem RIS/PACS/HIS w zakresie przeszukiwania i pobierania badań do opisu i ich archiwizacji</w:t>
            </w:r>
          </w:p>
        </w:tc>
        <w:tc>
          <w:tcPr>
            <w:tcW w:w="1799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Oprogramowanie umożliwiające analizę i ocenę badań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tomosyntezy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w zakresie min. oglądania poszczególnych warstw, automatycznego odtworzenia zdjęć 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9235" w:type="dxa"/>
            <w:gridSpan w:val="14"/>
          </w:tcPr>
          <w:p w:rsidR="000115B0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POZOSTAŁE WYMAGANIA FUNKCJONALNE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Wstrzykiwacz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dwutłokowy do mammograficznych badań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dwuenergetycznych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lub równoważnej efektywności klinicznej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418"/>
        </w:trPr>
        <w:tc>
          <w:tcPr>
            <w:tcW w:w="829" w:type="dxa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37" w:type="dxa"/>
            <w:gridSpan w:val="5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System do biopsji próżniowej </w:t>
            </w:r>
            <w:proofErr w:type="spellStart"/>
            <w:r>
              <w:rPr>
                <w:rFonts w:ascii="Calibri" w:eastAsia="Arial" w:hAnsi="Calibri" w:cs="Calibri"/>
                <w:sz w:val="20"/>
                <w:szCs w:val="20"/>
              </w:rPr>
              <w:t>gruboigłowej</w:t>
            </w:r>
            <w:proofErr w:type="spellEnd"/>
            <w:r>
              <w:rPr>
                <w:rFonts w:ascii="Calibri" w:eastAsia="Arial" w:hAnsi="Calibri" w:cs="Calibri"/>
                <w:sz w:val="20"/>
                <w:szCs w:val="20"/>
              </w:rPr>
              <w:t xml:space="preserve"> pod kontrolą mammografii cyfrowej kompatybilny z oferowanym mammografem z pakietem startowym zawierającym komplet uchwytów, prowadników, igieł itp. - jednostka modułu kontrolnego systemu biopsyjnego z wbudowaną pompą próżniową, elektroniką kontrolno-sterującą do biopsji próżniowej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opcja podtrzymywania stałego podciśnienia celem zapewnienia czystości sondy i loży biopsyjnej w czasie przerwy w zabiegu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obsługa urządzenia przy pomocy interfejsu na ekranie dotykowym monitora systemu próżniowego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dwa tryby prędkości pracy noża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możliwość podłączenia igieł biopsyjnych w rozmiarze 10G i 8G;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-regulacja długości odcinka tnącego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możliwość podania znieczulenia w trakcie biopsji bez konieczności wyciągania igły z piersi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- podgląd ostatnio pobranej próbki celem kontroli wizualnej 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możliwość natychmiastowego zatrzymania noża tnącego w każdym momencie biopsji;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obsługa urządzenia w języku polskim lub języku angielskim</w:t>
            </w:r>
          </w:p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- zintegrowany z igłą system zarządzania próbkami składający się z dwunastu komór na pobrane próbki</w:t>
            </w:r>
          </w:p>
        </w:tc>
        <w:tc>
          <w:tcPr>
            <w:tcW w:w="1799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4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gridSpan w:val="2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302"/>
        </w:trPr>
        <w:tc>
          <w:tcPr>
            <w:tcW w:w="9235" w:type="dxa"/>
            <w:gridSpan w:val="14"/>
          </w:tcPr>
          <w:p w:rsidR="000115B0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WYMAGANIA DODATKOWE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  <w:shd w:val="clear" w:color="auto" w:fill="auto"/>
          </w:tcPr>
          <w:p w:rsidR="000115B0" w:rsidRPr="00713B6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713B6F" w:rsidRDefault="000115B0" w:rsidP="00331A9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0E9">
              <w:rPr>
                <w:rFonts w:ascii="Calibri" w:hAnsi="Calibri" w:cs="Calibri"/>
                <w:sz w:val="20"/>
                <w:szCs w:val="20"/>
              </w:rPr>
              <w:t xml:space="preserve">Integracja z aktualnie eksploatowanymi przez Zamawiającego systemami medycznymi: PACS/RIS firmy </w:t>
            </w:r>
            <w:proofErr w:type="spellStart"/>
            <w:r w:rsidRPr="005E60E9">
              <w:rPr>
                <w:rFonts w:ascii="Calibri" w:hAnsi="Calibri" w:cs="Calibri"/>
                <w:sz w:val="20"/>
                <w:szCs w:val="20"/>
              </w:rPr>
              <w:t>Pixel</w:t>
            </w:r>
            <w:proofErr w:type="spellEnd"/>
            <w:r w:rsidRPr="005E60E9">
              <w:rPr>
                <w:rFonts w:ascii="Calibri" w:hAnsi="Calibri" w:cs="Calibri"/>
                <w:sz w:val="20"/>
                <w:szCs w:val="20"/>
              </w:rPr>
              <w:t xml:space="preserve"> Technology, AMMS Asseco Poland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713B6F" w:rsidRDefault="000115B0" w:rsidP="00331A9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713B6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Integracja – odpowiedzialność Wykonawcy: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Za całość integracji dostarczonych i wdrożonych systemów z dotychczasowym RIS/PACS/HIS odpowiada Wykonawca, w tym za samodzielne prowadzenie uzgodnień technicznych z dostawcami obecnych systemów Zamawiającego.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Integracja – zakres: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 xml:space="preserve">Listy robocze z uwzględnieniem podziału na badania diagnostyczne i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skriningowe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>, przesyłanie wszystkich typów obrazów, pobieranie badań wcześniejszych, uprawnienia dla poszczególnych użytkowników, konfiguracja opisów/raportów, działanie stacji diagnostycznych i przeglądowych oraz testy zachowania systemu przy czasowej niedostępności sieci lub PACS.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Integracja - licencje i koszty: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Wszystkie licencje, moduły komunikacyjne, interfejsy i usługi konfiguracyjne konieczne do uruchomienia pracy muszą być wliczone w cenę oferty. Wykonawca pokrywa również koszty prac wymaganych po stronie obecnych systemów Zamawiającego, o ile są niezbędne do integracji.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Integracja – odbiór: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Warunkiem odbioru jest pozytywny protokół testów integracji i potwierdzenie działania nowych systemów z dotychczasową infrastrukturą Zamawiającego, w tym poprawnego działania list roboczych, przesyłania obrazów, pobierania badań wcześniejszych i pracy stacji roboczych.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 xml:space="preserve">Integracja - projekt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przedinstalacyjny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>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 xml:space="preserve">Przed instalacją Wykonawca dostarczy szczegółowy projekt integracji obejmujący co najmniej: adresy IP, AE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Title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 xml:space="preserve">, porty, protokoły, wymagania dotyczące sieci, DNS, NTP, dostępu do </w:t>
            </w:r>
            <w:proofErr w:type="spellStart"/>
            <w:r w:rsidRPr="003F5D1F">
              <w:rPr>
                <w:rFonts w:ascii="Calibri" w:eastAsia="Arial" w:hAnsi="Calibri" w:cs="Calibri"/>
                <w:sz w:val="20"/>
              </w:rPr>
              <w:t>internetu</w:t>
            </w:r>
            <w:proofErr w:type="spellEnd"/>
            <w:r w:rsidRPr="003F5D1F">
              <w:rPr>
                <w:rFonts w:ascii="Calibri" w:eastAsia="Arial" w:hAnsi="Calibri" w:cs="Calibri"/>
                <w:sz w:val="20"/>
              </w:rPr>
              <w:t>, bezpieczeństwa i zdalnego dostępu serwisowego.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Integracja - wykaz licencji: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Wykonawca przekaże pełny wykaz licencji, modułów i interfejsów wraz z informacją, czy są bezterminowe, czasowe czy subskrypcyjne, oraz określi ich zakres i ewentualny wpływ na koszty eksploatacji po gwarancji.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Rola działu IT Zamawiającego: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</w:rPr>
              <w:t>Po stronie Działu IT Zamawiającego pozostaje przekazanie niezbędnych danych technicznych, przydzielenie adresacji, zapewnienie kontrolowanego dostępu do infrastruktury oraz udział w testach i odbiorze.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835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</w:rPr>
            </w:pPr>
            <w:r w:rsidRPr="003F5D1F">
              <w:rPr>
                <w:rFonts w:ascii="Calibri" w:eastAsia="Aptos" w:hAnsi="Calibri" w:cs="Calibri"/>
                <w:kern w:val="2"/>
                <w:sz w:val="20"/>
                <w:szCs w:val="20"/>
              </w:rPr>
              <w:t xml:space="preserve">Wykonanie projektu ochrony radiologicznej, projektu pracowni, projektu wentylacji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(o ile nastąpi zmiana w wentylacji oraz wykonanie pomiarów jej wydajności w celu sprawdzenia czy  zapewniona jest właściwa wymiana  powietrze zgodna z wymaganiami dla pracowni radiologicznej). Wykonanie planu posadowienia aparatu dla pomieszczenia, w którym będzie wykonywana instalacja aparatu oraz jego uzgodnienie z Zamawiającym 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Aptos" w:hAnsi="Calibri" w:cs="Calibri"/>
                <w:kern w:val="2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Projekt z opisem osłon stałych wraz z dostawą, montażem i wszystkimi wymaganymi uzgodnieniami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po stronie Wykonawcy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382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>Uzyskanie o</w:t>
            </w:r>
            <w:r w:rsidRPr="003F5D1F">
              <w:rPr>
                <w:rFonts w:ascii="Calibri" w:eastAsia="Aptos" w:hAnsi="Calibri" w:cs="Calibri"/>
                <w:kern w:val="2"/>
                <w:sz w:val="20"/>
                <w:szCs w:val="20"/>
              </w:rPr>
              <w:t>pinia projektu osłon stałych wydana przez WSSE</w:t>
            </w: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 xml:space="preserve"> po stronie Wykonawcy</w:t>
            </w:r>
            <w:r w:rsidRPr="003F5D1F">
              <w:rPr>
                <w:rFonts w:ascii="Calibri" w:eastAsia="Aptos" w:hAnsi="Calibri" w:cs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612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Wykonanie pomiarów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rozkładu dawki wokół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aparatu i pomiary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dozymetryczne za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osłonami stałymi po</w:t>
            </w:r>
          </w:p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montażu aparatu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69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pacing w:val="-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Wykonanie testów odbiorczych( akceptacyjnych) specjalistycznych i podstawowych po instalacji aparatu zgodnie z Rozporządzeniem Ministra Zdrowia z dnia 12 grudnia 2022 r.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52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Pr="003F5D1F" w:rsidRDefault="000115B0" w:rsidP="00331A9F">
            <w:pPr>
              <w:spacing w:after="0"/>
              <w:rPr>
                <w:rFonts w:ascii="Calibri" w:eastAsia="Aptos" w:hAnsi="Calibri" w:cs="Calibri"/>
                <w:kern w:val="2"/>
                <w:sz w:val="20"/>
                <w:szCs w:val="20"/>
              </w:rPr>
            </w:pPr>
            <w:r w:rsidRPr="003F5D1F">
              <w:rPr>
                <w:rFonts w:ascii="Calibri" w:eastAsia="Aptos" w:hAnsi="Calibri" w:cs="Calibri"/>
                <w:kern w:val="2"/>
                <w:sz w:val="20"/>
                <w:szCs w:val="20"/>
              </w:rPr>
              <w:t>Wykonywanie testów specjalistycznych w okresie gwarancji zgodnie z Rozporządzeniem Ministra Zdrowia z dnia 12 grudnia 2022 r.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</w:tcPr>
          <w:p w:rsidR="000115B0" w:rsidRDefault="000115B0" w:rsidP="00331A9F">
            <w:pPr>
              <w:spacing w:after="0"/>
              <w:rPr>
                <w:rFonts w:ascii="Calibri" w:eastAsia="Aptos" w:hAnsi="Calibri" w:cs="Calibri"/>
                <w:kern w:val="2"/>
                <w:sz w:val="20"/>
                <w:szCs w:val="20"/>
              </w:rPr>
            </w:pP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 xml:space="preserve">Instalacja aparatu w pomieszczeniu wskazanym przez Zamawiającego (zgodnie z załączonym rzutem) wraz z niezbędnymi pracami umożliwiającymi zainstalowanie aparatu mammograficznego w wyznaczonym obszarze obejmującą w szczególności: </w:t>
            </w:r>
          </w:p>
          <w:p w:rsidR="000115B0" w:rsidRDefault="000115B0" w:rsidP="00331A9F">
            <w:pPr>
              <w:spacing w:after="0"/>
              <w:rPr>
                <w:rFonts w:ascii="Calibri" w:eastAsia="Aptos" w:hAnsi="Calibri" w:cs="Calibri"/>
                <w:kern w:val="2"/>
                <w:sz w:val="20"/>
                <w:szCs w:val="20"/>
              </w:rPr>
            </w:pP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>- prace adaptacyjno - budowlane</w:t>
            </w:r>
          </w:p>
          <w:p w:rsidR="000115B0" w:rsidRDefault="000115B0" w:rsidP="00331A9F">
            <w:pPr>
              <w:spacing w:after="0"/>
              <w:rPr>
                <w:rFonts w:ascii="Calibri" w:eastAsia="Aptos" w:hAnsi="Calibri" w:cs="Calibr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>- po wykonaniu robót należy uporządkować teren objęty pracami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00B050"/>
                <w:sz w:val="28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Integracja - podłączenie oferowanego aparatu do posiadanego systemu przez Zamawiającego - wykonanie integracji aparatu z systemami RIS/PACS/AMMS uwzględniając zakup niezbędnych licencji wymaganych do integracji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color w:val="00B050"/>
                <w:sz w:val="28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 xml:space="preserve">Możliwość zdalnego dostępu (połączenie szyfrowane, zapewnienie bezpieczeństwa danych zgodnie z RODO) do aparatu umożliwiającego świadczenie usług serwisowych przez autoryzowany serwis producenta. Zakres zdalnego serwisu min.: diagnostyka, opieka serwisowa i aplikacyjna, korekta parametrów obrazowania, możliwość udostępnienia ekranu aparatu 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>Zestaw fartuchów ochronnych z materiałów lekkich:</w:t>
            </w:r>
          </w:p>
          <w:p w:rsidR="000115B0" w:rsidRDefault="000115B0" w:rsidP="00331A9F">
            <w:pPr>
              <w:numPr>
                <w:ilvl w:val="0"/>
                <w:numId w:val="1"/>
              </w:numPr>
              <w:spacing w:after="0" w:line="240" w:lineRule="auto"/>
              <w:ind w:left="239" w:hanging="21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jednoczęściowych min. 2 sztuki, (</w:t>
            </w:r>
            <w:r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>rozmiary do doprecyzowania w trakcie realizacji).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Zestaw fantomów do wykonywania testów podstawowych zgodnie z </w:t>
            </w:r>
            <w:r>
              <w:rPr>
                <w:rFonts w:ascii="Calibri" w:eastAsia="Aptos" w:hAnsi="Calibri" w:cs="Calibri"/>
                <w:kern w:val="2"/>
                <w:sz w:val="20"/>
                <w:szCs w:val="20"/>
              </w:rPr>
              <w:t xml:space="preserve">Ministra Zdrowia z dnia 12 grudnia 2022 roku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 i spełniających wymagania NFZ w ramach prowadzonego w placówce programu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screeningowego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raka piersi</w:t>
            </w:r>
          </w:p>
        </w:tc>
        <w:tc>
          <w:tcPr>
            <w:tcW w:w="1754" w:type="dxa"/>
            <w:gridSpan w:val="2"/>
            <w:vAlign w:val="center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739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E60E9">
              <w:rPr>
                <w:rFonts w:ascii="Calibri" w:hAnsi="Calibri" w:cs="Calibri"/>
                <w:sz w:val="20"/>
              </w:rPr>
              <w:t>Po stronie Wykonawcy: demontaż, wyniesienie, transport oraz zagospodarowanie/unieszkodliwienie wskazanego urządzenia zgodnie z obowiązującymi przepisami, wraz z przekazaniem Zamawiającemu dokumentów potwierdzających prawidłowe zagospodarowanie odpadów, jeżeli dotyczy.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368"/>
        </w:trPr>
        <w:tc>
          <w:tcPr>
            <w:tcW w:w="9235" w:type="dxa"/>
            <w:gridSpan w:val="14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WARUNKI SERWISU I GWARANCJI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Termin gwarancji przedmiotu zamówienia minimum 36 miesięcy na cały zestaw razem z lampą RTG od daty odbioru końcowego tj. od podpisania bez zastrzeżeń „Protokołu instalacji, uruchomienia i odbioru końcowego sprzętu wraz z przeprowadzonym szkoleniem”.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 xml:space="preserve">Termin gwarancji przedmiotu zamówienia minimum </w:t>
            </w:r>
            <w:r>
              <w:rPr>
                <w:rFonts w:ascii="Calibri" w:eastAsia="Arial" w:hAnsi="Calibri" w:cs="Calibri"/>
                <w:sz w:val="20"/>
                <w:szCs w:val="20"/>
              </w:rPr>
              <w:t>36</w:t>
            </w:r>
            <w:r w:rsidRPr="00A82A65">
              <w:rPr>
                <w:rFonts w:ascii="Calibri" w:eastAsia="Arial" w:hAnsi="Calibri" w:cs="Calibri"/>
                <w:sz w:val="20"/>
                <w:szCs w:val="20"/>
              </w:rPr>
              <w:t xml:space="preserve"> miesięcy na prace adaptacyjne od </w:t>
            </w:r>
            <w:r w:rsidRPr="00780770">
              <w:rPr>
                <w:rFonts w:ascii="Calibri" w:eastAsia="Arial" w:hAnsi="Calibri" w:cs="Calibri"/>
                <w:sz w:val="20"/>
                <w:szCs w:val="20"/>
              </w:rPr>
              <w:t>daty odbioru końcowego tj. „Protokołu końcowego odbioru Przedmiotu Umowy”.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Podać liczbę i częstotliwość przeglądów/konserwacji/walidacji zalecaną przez producenta dla 1 roku okresu gwarancyjnego.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Podać liczbę i częstotliwość przeglądów/konserwacji/walidacji zalecaną przez producenta dla 1 roku okresu pogwarancyjnego.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TAK, podać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  <w:shd w:val="clear" w:color="auto" w:fill="auto"/>
          </w:tcPr>
          <w:p w:rsidR="000115B0" w:rsidRPr="003F5D1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0115B0" w:rsidRPr="003F5D1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F5D1F">
              <w:rPr>
                <w:rFonts w:ascii="Calibri" w:eastAsia="Arial" w:hAnsi="Calibri" w:cs="Calibri"/>
                <w:sz w:val="20"/>
                <w:szCs w:val="20"/>
              </w:rPr>
              <w:t>Jeżeli producent zaleca wykonywanie przeglądów pogwarancyjnych, okres gwarancji zostanie zakończony przeglądem z wydaniem orzeczenia o stanie technicznym sprzętu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:rsidR="000115B0" w:rsidRPr="003F5D1F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5D1F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65"/>
        </w:trPr>
        <w:tc>
          <w:tcPr>
            <w:tcW w:w="878" w:type="dxa"/>
            <w:gridSpan w:val="3"/>
          </w:tcPr>
          <w:p w:rsidR="000115B0" w:rsidRPr="00780770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780770" w:rsidRDefault="000115B0" w:rsidP="00331A9F">
            <w:pPr>
              <w:pStyle w:val="Akapitzlist"/>
              <w:spacing w:after="0" w:line="240" w:lineRule="auto"/>
              <w:ind w:left="0"/>
              <w:rPr>
                <w:rFonts w:ascii="Calibri" w:eastAsia="Symbol" w:hAnsi="Calibri" w:cs="Calibri"/>
                <w:sz w:val="20"/>
                <w:szCs w:val="20"/>
              </w:rPr>
            </w:pPr>
            <w:r w:rsidRPr="00780770">
              <w:rPr>
                <w:rFonts w:ascii="Calibri" w:eastAsia="Arial" w:hAnsi="Calibri" w:cs="Calibri"/>
                <w:sz w:val="20"/>
                <w:szCs w:val="20"/>
              </w:rPr>
              <w:t>Czas reakcji serwisu technicznego na zgłoszenie wad i usterek sprzętu do 48 godzin od momentu zgłoszenia.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780770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780770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36"/>
        </w:trPr>
        <w:tc>
          <w:tcPr>
            <w:tcW w:w="878" w:type="dxa"/>
            <w:gridSpan w:val="3"/>
          </w:tcPr>
          <w:p w:rsidR="000115B0" w:rsidRPr="00C901FF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C901F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901FF">
              <w:rPr>
                <w:rFonts w:ascii="Calibri" w:eastAsia="Arial" w:hAnsi="Calibri" w:cs="Calibri"/>
                <w:sz w:val="20"/>
                <w:szCs w:val="20"/>
              </w:rPr>
              <w:t>Czas na usunięcie wad i usterek sprzętu (za wyjątkiem dni ustawowo wolnych od pracy) do 3 dni roboczych od dnia zgłoszenia (złożenia reklamacji); czas naprawy w przypadku konieczności wymiany części zamiennych z zagranicy do 7 dni roboczych.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C901FF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C901FF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W przypadku złożenia przez Zamawiającego 2 (dwóch) uzasadnionych reklamacji w okresie gwarancji, Wykonawca zobowiązany jest do wymiany podzespołu/modułu/ elementu/części na nową, a w przypadku braku możliwości wymiany podzespołu/modułu/ elementu/części, do wymiany sprzętu na fabrycznie nowy.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color w:val="000000"/>
                <w:sz w:val="20"/>
                <w:szCs w:val="20"/>
                <w:lang w:eastAsia="pl-PL"/>
              </w:rPr>
              <w:t>Zapewnienie dostępu do części zamiennych przez okres co najmniej 10 lat od daty obustronnie podpisanego „Protokołu instalacji, uruchomienia i odbioru końcowego sprzętu wraz z przeprowadzonym szkoleniem”.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523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Deklaracja zgodności lub certyfikat CE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>Szkolenia dla personelu medycznego z zakresu obsługi urządzenia (min. 4 osoby z możliwością podziału i szkolenia w mniejszych podgrupach) tuż po jego instalacji; w razie potrzeby Zamawiającego, możliwość stałego wsparcia aplikacyjnego w początkowym (do 6 -</w:t>
            </w:r>
            <w:proofErr w:type="spellStart"/>
            <w:r w:rsidRPr="00A82A65"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>ciu</w:t>
            </w:r>
            <w:proofErr w:type="spellEnd"/>
            <w:r w:rsidRPr="00A82A65"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i diagnostycznych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trHeight w:val="921"/>
        </w:trPr>
        <w:tc>
          <w:tcPr>
            <w:tcW w:w="878" w:type="dxa"/>
            <w:gridSpan w:val="3"/>
          </w:tcPr>
          <w:p w:rsidR="000115B0" w:rsidRPr="00A82A65" w:rsidRDefault="000115B0" w:rsidP="00331A9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vAlign w:val="center"/>
          </w:tcPr>
          <w:p w:rsidR="000115B0" w:rsidRPr="00A82A65" w:rsidRDefault="000115B0" w:rsidP="00331A9F">
            <w:pPr>
              <w:snapToGrid w:val="0"/>
              <w:spacing w:after="0" w:line="288" w:lineRule="auto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Liczba i okres szkoleń:</w:t>
            </w:r>
          </w:p>
          <w:p w:rsidR="000115B0" w:rsidRPr="00A82A65" w:rsidRDefault="000115B0" w:rsidP="00331A9F">
            <w:pPr>
              <w:tabs>
                <w:tab w:val="left" w:pos="928"/>
              </w:tabs>
              <w:spacing w:after="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- pierwsze szkolenie - tuż po instalacji systemu</w:t>
            </w:r>
          </w:p>
          <w:p w:rsidR="000115B0" w:rsidRPr="00A82A65" w:rsidRDefault="000115B0" w:rsidP="00331A9F">
            <w:pPr>
              <w:tabs>
                <w:tab w:val="left" w:pos="928"/>
              </w:tabs>
              <w:spacing w:after="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- dodatkowe min. 3 dniowe, w innym terminie us</w:t>
            </w:r>
            <w:r>
              <w:rPr>
                <w:rFonts w:ascii="Calibri" w:eastAsia="Arial" w:hAnsi="Calibri" w:cs="Calibri"/>
                <w:sz w:val="20"/>
                <w:szCs w:val="20"/>
              </w:rPr>
              <w:t>talonym z kierownikiem pracowni</w:t>
            </w:r>
          </w:p>
        </w:tc>
        <w:tc>
          <w:tcPr>
            <w:tcW w:w="1754" w:type="dxa"/>
            <w:gridSpan w:val="2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2A65">
              <w:rPr>
                <w:rFonts w:ascii="Calibri" w:eastAsia="Times New Roman" w:hAnsi="Calibri" w:cs="Calibri"/>
                <w:sz w:val="20"/>
                <w:szCs w:val="20"/>
              </w:rPr>
              <w:t>TAK</w:t>
            </w:r>
          </w:p>
        </w:tc>
        <w:tc>
          <w:tcPr>
            <w:tcW w:w="1931" w:type="dxa"/>
            <w:gridSpan w:val="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gridSpan w:val="4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115B0" w:rsidRDefault="000115B0" w:rsidP="00331A9F">
            <w:pPr>
              <w:spacing w:after="0" w:line="0" w:lineRule="atLeast"/>
              <w:rPr>
                <w:sz w:val="2"/>
              </w:rPr>
            </w:pPr>
          </w:p>
        </w:tc>
      </w:tr>
      <w:tr w:rsidR="000115B0" w:rsidTr="00331A9F">
        <w:trPr>
          <w:gridAfter w:val="2"/>
          <w:wAfter w:w="262" w:type="dxa"/>
          <w:trHeight w:val="387"/>
        </w:trPr>
        <w:tc>
          <w:tcPr>
            <w:tcW w:w="9209" w:type="dxa"/>
            <w:gridSpan w:val="13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A82A65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Warunki dostawy </w:t>
            </w:r>
          </w:p>
        </w:tc>
      </w:tr>
      <w:tr w:rsidR="000115B0" w:rsidTr="00331A9F">
        <w:trPr>
          <w:gridAfter w:val="2"/>
          <w:wAfter w:w="262" w:type="dxa"/>
          <w:trHeight w:val="921"/>
        </w:trPr>
        <w:tc>
          <w:tcPr>
            <w:tcW w:w="846" w:type="dxa"/>
            <w:gridSpan w:val="2"/>
            <w:shd w:val="clear" w:color="auto" w:fill="auto"/>
          </w:tcPr>
          <w:p w:rsidR="000115B0" w:rsidRPr="005E60E9" w:rsidRDefault="000115B0" w:rsidP="00331A9F">
            <w:pPr>
              <w:spacing w:after="0" w:line="240" w:lineRule="auto"/>
              <w:jc w:val="right"/>
              <w:rPr>
                <w:rFonts w:ascii="Calibri" w:eastAsia="Arial" w:hAnsi="Calibri" w:cs="Calibri"/>
                <w:color w:val="FF0000"/>
                <w:sz w:val="20"/>
                <w:szCs w:val="20"/>
              </w:rPr>
            </w:pPr>
            <w:r w:rsidRPr="005E60E9">
              <w:rPr>
                <w:rFonts w:ascii="Calibri" w:eastAsia="Arial" w:hAnsi="Calibri" w:cs="Calibri"/>
                <w:sz w:val="20"/>
                <w:szCs w:val="20"/>
              </w:rPr>
              <w:t>149.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0115B0" w:rsidRPr="00C901FF" w:rsidRDefault="000115B0" w:rsidP="00331A9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901FF">
              <w:rPr>
                <w:rFonts w:ascii="Calibri" w:eastAsia="Arial" w:hAnsi="Calibri" w:cs="Calibri"/>
                <w:sz w:val="20"/>
                <w:szCs w:val="20"/>
                <w:lang w:eastAsia="pl-PL"/>
              </w:rPr>
              <w:t>Dostawa sprzętu, instalacja, uruchomienie wraz z przeprowadzonym szkoleniem – do 6 tygodni od dnia zawarcia umowy.</w:t>
            </w:r>
          </w:p>
          <w:p w:rsidR="000115B0" w:rsidRPr="00A82A65" w:rsidRDefault="000115B0" w:rsidP="00331A9F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0115B0" w:rsidRPr="00A82A65" w:rsidRDefault="000115B0" w:rsidP="00331A9F">
            <w:pPr>
              <w:spacing w:after="0" w:line="240" w:lineRule="auto"/>
              <w:jc w:val="center"/>
              <w:rPr>
                <w:rFonts w:ascii="Calibri" w:eastAsia="Arial" w:hAnsi="Calibri" w:cs="Calibri"/>
                <w:color w:val="FF0000"/>
                <w:sz w:val="20"/>
                <w:szCs w:val="20"/>
              </w:rPr>
            </w:pPr>
            <w:r w:rsidRPr="00A82A65">
              <w:rPr>
                <w:rFonts w:ascii="Calibri" w:eastAsia="Arial" w:hAnsi="Calibri" w:cs="Calibri"/>
                <w:sz w:val="20"/>
                <w:szCs w:val="20"/>
              </w:rPr>
              <w:t>TAK</w:t>
            </w:r>
          </w:p>
        </w:tc>
        <w:tc>
          <w:tcPr>
            <w:tcW w:w="1843" w:type="dxa"/>
          </w:tcPr>
          <w:p w:rsidR="000115B0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0115B0" w:rsidRPr="005E60E9" w:rsidRDefault="000115B0" w:rsidP="00331A9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115B0" w:rsidRDefault="000115B0" w:rsidP="000115B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*) Przez „czas reakcji” należy rozumieć czas, w którym </w:t>
      </w:r>
      <w:proofErr w:type="spellStart"/>
      <w:r>
        <w:rPr>
          <w:rFonts w:ascii="Calibri" w:hAnsi="Calibri" w:cs="Calibri"/>
          <w:b/>
          <w:sz w:val="20"/>
          <w:szCs w:val="20"/>
        </w:rPr>
        <w:t>serwisant</w:t>
      </w:r>
      <w:proofErr w:type="spellEnd"/>
      <w:r>
        <w:rPr>
          <w:rFonts w:ascii="Calibri" w:hAnsi="Calibri" w:cs="Calibri"/>
          <w:b/>
          <w:sz w:val="20"/>
          <w:szCs w:val="20"/>
        </w:rPr>
        <w:t>, po otrzymaniu zgłoszenia, stawi się w siedzibie użytkownika i przystąpi do niezwłocznego usunięcia usterek.</w:t>
      </w:r>
    </w:p>
    <w:p w:rsidR="000115B0" w:rsidRDefault="000115B0" w:rsidP="000115B0">
      <w:pPr>
        <w:spacing w:after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Oświadczam, że oferowany powyżej sprzęt jest kompletny i będzie gotowy do użytkowania po uruchomieniu bez</w:t>
      </w:r>
    </w:p>
    <w:p w:rsidR="000115B0" w:rsidRDefault="000115B0" w:rsidP="000115B0">
      <w:pPr>
        <w:spacing w:after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żadnych dodatkowych zakupów. Urządzenie oprócz spełnienia odpowiednich parametrów funkcjonalnych gwarantuje bezpieczeństwo pacjentów i personelu medycznego oraz zapewnia wymagany poziom świadczonych usług medycznych.</w:t>
      </w:r>
    </w:p>
    <w:p w:rsidR="000115B0" w:rsidRDefault="000115B0" w:rsidP="000115B0">
      <w:pPr>
        <w:rPr>
          <w:rFonts w:ascii="Calibri" w:hAnsi="Calibri" w:cs="Calibri"/>
          <w:b/>
          <w:sz w:val="20"/>
          <w:szCs w:val="20"/>
        </w:rPr>
      </w:pP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8E399C">
        <w:rPr>
          <w:rFonts w:ascii="Calibri" w:hAnsi="Calibri" w:cs="Calibri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8E399C">
        <w:rPr>
          <w:rFonts w:ascii="Calibri" w:hAnsi="Calibri" w:cs="Calibri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8E399C">
        <w:rPr>
          <w:rFonts w:ascii="Calibri" w:hAnsi="Calibri" w:cs="Calibri"/>
          <w:b/>
          <w:sz w:val="20"/>
          <w:szCs w:val="20"/>
        </w:rPr>
        <w:t>Tabela nr 1 Wykaz kategorii danych osobowych dla przedmiotu zamówienia</w:t>
      </w:r>
      <w:r w:rsidRPr="008E399C">
        <w:rPr>
          <w:rFonts w:ascii="Calibri" w:hAnsi="Calibri" w:cs="Calibri"/>
          <w:sz w:val="20"/>
          <w:szCs w:val="20"/>
        </w:rPr>
        <w:t>.</w:t>
      </w:r>
    </w:p>
    <w:p w:rsidR="004861CE" w:rsidRPr="008E399C" w:rsidRDefault="004861CE" w:rsidP="004861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966"/>
        <w:gridCol w:w="3851"/>
        <w:gridCol w:w="4108"/>
      </w:tblGrid>
      <w:tr w:rsidR="004861CE" w:rsidRPr="008E399C" w:rsidTr="00C61D8B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399C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399C">
              <w:rPr>
                <w:rFonts w:ascii="Calibri" w:hAnsi="Calibri" w:cs="Calibri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399C">
              <w:rPr>
                <w:rFonts w:ascii="Calibri" w:hAnsi="Calibri" w:cs="Calibri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E399C">
              <w:rPr>
                <w:rFonts w:ascii="Calibri" w:hAnsi="Calibri" w:cs="Calibri"/>
                <w:sz w:val="20"/>
                <w:szCs w:val="20"/>
              </w:rPr>
              <w:t>Kategorie danych osobowych</w:t>
            </w:r>
          </w:p>
        </w:tc>
      </w:tr>
      <w:tr w:rsidR="004861CE" w:rsidRPr="008E399C" w:rsidTr="00C61D8B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399C">
              <w:rPr>
                <w:rFonts w:ascii="Calibri" w:hAnsi="Calibri" w:cs="Calibri"/>
                <w:sz w:val="20"/>
                <w:szCs w:val="20"/>
              </w:rPr>
              <w:br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pStyle w:val="Standard"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E399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 w:rsidRPr="008E399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oraz …………….….............................................</w:t>
            </w:r>
          </w:p>
          <w:p w:rsidR="004861CE" w:rsidRPr="008E399C" w:rsidRDefault="004861CE" w:rsidP="00C61D8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E399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 w:rsidRPr="008E399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(tzw. wrażliwe):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oraz………………………………...……………</w:t>
            </w:r>
          </w:p>
          <w:p w:rsidR="004861CE" w:rsidRPr="008E399C" w:rsidRDefault="004861CE" w:rsidP="00C61D8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E399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: 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imię i nazwisko, nr PESEL, dane kontaktowe, stopień pokrewieństwa oraz ……………………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</w:p>
        </w:tc>
      </w:tr>
      <w:tr w:rsidR="004861CE" w:rsidRPr="008E399C" w:rsidTr="00C61D8B">
        <w:trPr>
          <w:trHeight w:val="1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1CE" w:rsidRPr="008E399C" w:rsidRDefault="004861CE" w:rsidP="00C61D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1CE" w:rsidRPr="008E399C" w:rsidRDefault="004861CE" w:rsidP="00C61D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pStyle w:val="Standard"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Pracowników i osób zatrudnionych przez </w:t>
            </w:r>
            <w:r w:rsidRPr="008E399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Zamawiającego </w:t>
            </w:r>
            <w:r w:rsidRPr="008E399C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na innej niż umowa o pracę podstawie prawnej</w:t>
            </w:r>
            <w:r w:rsidRPr="008E399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,</w:t>
            </w:r>
            <w:r w:rsidRPr="008E399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1CE" w:rsidRPr="008E399C" w:rsidRDefault="004861CE" w:rsidP="00C61D8B">
            <w:pPr>
              <w:spacing w:before="100" w:beforeAutospacing="1" w:after="100" w:afterAutospacing="1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E399C">
              <w:rPr>
                <w:rFonts w:ascii="Calibri" w:hAnsi="Calibri" w:cs="Calibri"/>
                <w:b/>
                <w:bCs/>
                <w:sz w:val="20"/>
                <w:szCs w:val="20"/>
              </w:rPr>
              <w:t>Dane zwykłe:</w:t>
            </w:r>
            <w:r w:rsidRPr="008E399C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8E399C">
              <w:rPr>
                <w:rFonts w:ascii="Calibri" w:hAnsi="Calibri" w:cs="Calibri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4861CE" w:rsidRDefault="004861CE" w:rsidP="004861CE">
      <w:pPr>
        <w:rPr>
          <w:rFonts w:ascii="Calibri" w:hAnsi="Calibri" w:cs="Calibri"/>
          <w:b/>
          <w:sz w:val="20"/>
          <w:szCs w:val="20"/>
        </w:rPr>
      </w:pPr>
    </w:p>
    <w:p w:rsidR="004861CE" w:rsidRDefault="004861CE" w:rsidP="000115B0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0E1F05" w:rsidRDefault="004861CE"/>
    <w:sectPr w:rsidR="000E1F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720" w:bottom="766" w:left="720" w:header="709" w:footer="709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74E" w:rsidRDefault="00B62F38">
      <w:pPr>
        <w:spacing w:after="0" w:line="240" w:lineRule="auto"/>
      </w:pPr>
      <w:r>
        <w:separator/>
      </w:r>
    </w:p>
  </w:endnote>
  <w:endnote w:type="continuationSeparator" w:id="0">
    <w:p w:rsidR="00A8174E" w:rsidRDefault="00B6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74E" w:rsidRDefault="00B62F38">
      <w:pPr>
        <w:spacing w:after="0" w:line="240" w:lineRule="auto"/>
      </w:pPr>
      <w:r>
        <w:separator/>
      </w:r>
    </w:p>
  </w:footnote>
  <w:footnote w:type="continuationSeparator" w:id="0">
    <w:p w:rsidR="00A8174E" w:rsidRDefault="00B6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7F" w:rsidRDefault="004861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2DE0"/>
    <w:multiLevelType w:val="multilevel"/>
    <w:tmpl w:val="46A22440"/>
    <w:lvl w:ilvl="0">
      <w:start w:val="9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C202442"/>
    <w:multiLevelType w:val="multilevel"/>
    <w:tmpl w:val="48A448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13C3DF6"/>
    <w:multiLevelType w:val="multilevel"/>
    <w:tmpl w:val="671617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827724"/>
    <w:multiLevelType w:val="multilevel"/>
    <w:tmpl w:val="EC1EFE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B0"/>
    <w:rsid w:val="000115B0"/>
    <w:rsid w:val="00122221"/>
    <w:rsid w:val="004861CE"/>
    <w:rsid w:val="007F0ED6"/>
    <w:rsid w:val="00A625F8"/>
    <w:rsid w:val="00A8174E"/>
    <w:rsid w:val="00B058C9"/>
    <w:rsid w:val="00B6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08522-E18A-40B8-BEC8-9E586296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15B0"/>
    <w:pPr>
      <w:suppressAutoHyphens/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115B0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15B0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15B0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15B0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115B0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115B0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115B0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0115B0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0115B0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115B0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0115B0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115B0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0115B0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0115B0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0115B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0115B0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0115B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0115B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115B0"/>
    <w:rPr>
      <w:rFonts w:ascii="Arial" w:eastAsia="Arial" w:hAnsi="Arial" w:cs="Arial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115B0"/>
    <w:rPr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115B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115B0"/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115B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15B0"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0115B0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0115B0"/>
    <w:rPr>
      <w:i/>
      <w:iCs/>
    </w:rPr>
  </w:style>
  <w:style w:type="character" w:styleId="Pogrubienie">
    <w:name w:val="Strong"/>
    <w:basedOn w:val="Domylnaczcionkaakapitu"/>
    <w:uiPriority w:val="22"/>
    <w:qFormat/>
    <w:rsid w:val="000115B0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0115B0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0115B0"/>
    <w:rPr>
      <w:b/>
      <w:bCs/>
      <w:i/>
      <w:iCs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115B0"/>
  </w:style>
  <w:style w:type="character" w:customStyle="1" w:styleId="StopkaZnak">
    <w:name w:val="Stopka Znak"/>
    <w:basedOn w:val="Domylnaczcionkaakapitu"/>
    <w:link w:val="Stopka"/>
    <w:uiPriority w:val="99"/>
    <w:qFormat/>
    <w:rsid w:val="000115B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115B0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0115B0"/>
    <w:rPr>
      <w:vertAlign w:val="superscript"/>
    </w:rPr>
  </w:style>
  <w:style w:type="character" w:styleId="Odwoanieprzypisudolnego">
    <w:name w:val="footnote reference"/>
    <w:rsid w:val="000115B0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115B0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0115B0"/>
    <w:rPr>
      <w:vertAlign w:val="superscript"/>
    </w:rPr>
  </w:style>
  <w:style w:type="character" w:styleId="Odwoanieprzypisukocowego">
    <w:name w:val="endnote reference"/>
    <w:rsid w:val="000115B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15B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115B0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qFormat/>
    <w:rsid w:val="000115B0"/>
    <w:rPr>
      <w:color w:val="666666"/>
    </w:rPr>
  </w:style>
  <w:style w:type="character" w:customStyle="1" w:styleId="AkapitzlistZnak">
    <w:name w:val="Akapit z listą Znak"/>
    <w:link w:val="Akapitzlist"/>
    <w:uiPriority w:val="34"/>
    <w:qFormat/>
    <w:locked/>
    <w:rsid w:val="000115B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115B0"/>
  </w:style>
  <w:style w:type="paragraph" w:styleId="Nagwek">
    <w:name w:val="header"/>
    <w:basedOn w:val="Normalny"/>
    <w:next w:val="Tekstpodstawowy"/>
    <w:link w:val="NagwekZnak"/>
    <w:uiPriority w:val="99"/>
    <w:unhideWhenUsed/>
    <w:rsid w:val="000115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0115B0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15B0"/>
    <w:pPr>
      <w:spacing w:after="120"/>
    </w:pPr>
  </w:style>
  <w:style w:type="character" w:customStyle="1" w:styleId="TekstpodstawowyZnak1">
    <w:name w:val="Tekst podstawowy Znak1"/>
    <w:basedOn w:val="Domylnaczcionkaakapitu"/>
    <w:uiPriority w:val="99"/>
    <w:semiHidden/>
    <w:rsid w:val="000115B0"/>
  </w:style>
  <w:style w:type="paragraph" w:styleId="Lista">
    <w:name w:val="List"/>
    <w:basedOn w:val="Tekstpodstawowy"/>
    <w:rsid w:val="000115B0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0115B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qFormat/>
    <w:rsid w:val="000115B0"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0115B0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01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5B0"/>
    <w:rPr>
      <w:color w:val="595959" w:themeColor="text1" w:themeTint="A6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0115B0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01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1">
    <w:name w:val="Cytat Znak1"/>
    <w:basedOn w:val="Domylnaczcionkaakapitu"/>
    <w:uiPriority w:val="29"/>
    <w:rsid w:val="000115B0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5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1">
    <w:name w:val="Cytat intensywny Znak1"/>
    <w:basedOn w:val="Domylnaczcionkaakapitu"/>
    <w:uiPriority w:val="30"/>
    <w:rsid w:val="000115B0"/>
    <w:rPr>
      <w:i/>
      <w:iCs/>
      <w:color w:val="5B9BD5" w:themeColor="accent1"/>
    </w:rPr>
  </w:style>
  <w:style w:type="paragraph" w:customStyle="1" w:styleId="Gwkaistopka">
    <w:name w:val="Główka i stopka"/>
    <w:basedOn w:val="Normalny"/>
    <w:qFormat/>
    <w:rsid w:val="000115B0"/>
  </w:style>
  <w:style w:type="paragraph" w:styleId="Stopka">
    <w:name w:val="footer"/>
    <w:basedOn w:val="Normalny"/>
    <w:link w:val="StopkaZnak"/>
    <w:uiPriority w:val="99"/>
    <w:unhideWhenUsed/>
    <w:rsid w:val="000115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0115B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15B0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115B0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5B0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115B0"/>
    <w:rPr>
      <w:sz w:val="20"/>
      <w:szCs w:val="20"/>
    </w:rPr>
  </w:style>
  <w:style w:type="paragraph" w:styleId="Spistreci1">
    <w:name w:val="toc 1"/>
    <w:basedOn w:val="Normalny"/>
    <w:next w:val="Normalny"/>
    <w:uiPriority w:val="39"/>
    <w:unhideWhenUsed/>
    <w:rsid w:val="000115B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0115B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0115B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0115B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0115B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0115B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0115B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0115B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0115B0"/>
    <w:pPr>
      <w:spacing w:after="100"/>
      <w:ind w:left="1760"/>
    </w:p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115B0"/>
    <w:pPr>
      <w:spacing w:after="0" w:line="240" w:lineRule="auto"/>
      <w:ind w:left="220" w:hanging="220"/>
    </w:pPr>
  </w:style>
  <w:style w:type="paragraph" w:styleId="Nagwekindeksu">
    <w:name w:val="index heading"/>
    <w:basedOn w:val="Nagwek"/>
    <w:rsid w:val="000115B0"/>
  </w:style>
  <w:style w:type="paragraph" w:styleId="Nagwekspisutreci">
    <w:name w:val="TOC Heading"/>
    <w:uiPriority w:val="39"/>
    <w:unhideWhenUsed/>
    <w:qFormat/>
    <w:rsid w:val="000115B0"/>
    <w:pPr>
      <w:suppressAutoHyphens/>
      <w:spacing w:after="200" w:line="276" w:lineRule="auto"/>
    </w:pPr>
  </w:style>
  <w:style w:type="paragraph" w:styleId="Spisilustracji">
    <w:name w:val="table of figures"/>
    <w:basedOn w:val="Normalny"/>
    <w:next w:val="Normalny"/>
    <w:uiPriority w:val="99"/>
    <w:unhideWhenUsed/>
    <w:rsid w:val="000115B0"/>
    <w:pPr>
      <w:spacing w:after="0"/>
    </w:pPr>
  </w:style>
  <w:style w:type="paragraph" w:styleId="Bezodstpw">
    <w:name w:val="No Spacing"/>
    <w:basedOn w:val="Normalny"/>
    <w:qFormat/>
    <w:rsid w:val="000115B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115B0"/>
    <w:pPr>
      <w:ind w:left="720"/>
      <w:contextualSpacing/>
    </w:pPr>
  </w:style>
  <w:style w:type="paragraph" w:customStyle="1" w:styleId="Bezodstpw1">
    <w:name w:val="Bez odstępów1"/>
    <w:qFormat/>
    <w:rsid w:val="000115B0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omylny">
    <w:name w:val="Domyślny"/>
    <w:qFormat/>
    <w:rsid w:val="000115B0"/>
    <w:pPr>
      <w:suppressAutoHyphens/>
      <w:spacing w:after="200" w:line="276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lang w:eastAsia="pl-PL"/>
    </w:rPr>
  </w:style>
  <w:style w:type="paragraph" w:customStyle="1" w:styleId="Standard">
    <w:name w:val="Standard"/>
    <w:qFormat/>
    <w:rsid w:val="000115B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color w:val="00000A"/>
      <w:kern w:val="2"/>
      <w:sz w:val="24"/>
      <w:szCs w:val="24"/>
      <w:lang w:eastAsia="hi-IN" w:bidi="hi-IN"/>
    </w:rPr>
  </w:style>
  <w:style w:type="paragraph" w:styleId="Poprawka">
    <w:name w:val="Revision"/>
    <w:uiPriority w:val="99"/>
    <w:semiHidden/>
    <w:qFormat/>
    <w:rsid w:val="000115B0"/>
    <w:pPr>
      <w:suppressAutoHyphens/>
      <w:spacing w:after="0" w:line="240" w:lineRule="auto"/>
    </w:pPr>
  </w:style>
  <w:style w:type="paragraph" w:styleId="NormalnyWeb">
    <w:name w:val="Normal (Web)"/>
    <w:basedOn w:val="Normalny"/>
    <w:qFormat/>
    <w:rsid w:val="000115B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mpact">
    <w:name w:val="Compact"/>
    <w:basedOn w:val="Tekstpodstawowy"/>
    <w:qFormat/>
    <w:rsid w:val="000115B0"/>
    <w:pPr>
      <w:spacing w:before="36" w:after="36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Zawartotabeli">
    <w:name w:val="Zawartość tabeli"/>
    <w:basedOn w:val="Normalny"/>
    <w:qFormat/>
    <w:rsid w:val="000115B0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0115B0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0115B0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0115B0"/>
    <w:pPr>
      <w:suppressAutoHyphens/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0115B0"/>
    <w:pPr>
      <w:suppressAutoHyphens/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0115B0"/>
    <w:pPr>
      <w:suppressAutoHyphens/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elasiatki21">
    <w:name w:val="Tabela siatki 2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Tabelalisty41">
    <w:name w:val="Tabela listy 4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0115B0"/>
    <w:pPr>
      <w:suppressAutoHyphens/>
      <w:spacing w:after="0" w:line="240" w:lineRule="auto"/>
    </w:pPr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0115B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11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3803</Words>
  <Characters>22824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Narkiewicz-Rajewska</dc:creator>
  <cp:keywords/>
  <dc:description/>
  <cp:lastModifiedBy>Tatiana Tabaczyńska</cp:lastModifiedBy>
  <cp:revision>5</cp:revision>
  <dcterms:created xsi:type="dcterms:W3CDTF">2026-08-25T09:10:00Z</dcterms:created>
  <dcterms:modified xsi:type="dcterms:W3CDTF">2026-08-25T09:36:00Z</dcterms:modified>
</cp:coreProperties>
</file>