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491925" w:rsidRPr="00E61811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 w:rsidP="00E53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Załącznik nr </w:t>
            </w:r>
            <w:r w:rsidR="00C33BD8"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2.1 do SWZ 21</w:t>
            </w:r>
            <w:r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/</w:t>
            </w:r>
            <w:r w:rsidR="00C33BD8"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</w:t>
            </w:r>
            <w:r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26/</w:t>
            </w:r>
            <w:r w:rsidR="00C33BD8" w:rsidRPr="00E6181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DZP</w:t>
            </w:r>
          </w:p>
        </w:tc>
      </w:tr>
      <w:tr w:rsidR="00491925" w:rsidRPr="00E61811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F6717A" w:rsidP="00F6717A">
            <w:pPr>
              <w:tabs>
                <w:tab w:val="left" w:pos="0"/>
              </w:tabs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 </w:t>
            </w:r>
            <w:r w:rsidR="00A50BBB"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491925" w:rsidRPr="00E61811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491925" w:rsidRPr="00E61811" w:rsidRDefault="00A50BBB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E6181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aparatu do znieczulenia wraz z kardiomonitorem  - 1 sztuka</w:t>
            </w:r>
          </w:p>
          <w:p w:rsidR="00491925" w:rsidRPr="00E61811" w:rsidRDefault="00491925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91925" w:rsidRPr="00E61811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491925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Producent:</w:t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491925" w:rsidRPr="00E61811" w:rsidRDefault="00A50BB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 w:rsidRPr="00E61811"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 w:rsidRPr="00E61811"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491925" w:rsidRPr="00E61811" w:rsidRDefault="00A50BBB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491925" w:rsidRPr="00E61811" w:rsidRDefault="0049192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9"/>
        <w:gridCol w:w="4093"/>
        <w:gridCol w:w="2290"/>
        <w:gridCol w:w="3126"/>
      </w:tblGrid>
      <w:tr w:rsidR="00491925" w:rsidRPr="00E61811" w:rsidTr="00BE5E7A">
        <w:trPr>
          <w:trHeight w:val="123"/>
        </w:trPr>
        <w:tc>
          <w:tcPr>
            <w:tcW w:w="839" w:type="dxa"/>
            <w:shd w:val="clear" w:color="auto" w:fill="D9D9D9"/>
            <w:noWrap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093" w:type="dxa"/>
            <w:shd w:val="clear" w:color="auto" w:fill="D9D9D9"/>
            <w:noWrap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90" w:type="dxa"/>
            <w:shd w:val="clear" w:color="auto" w:fill="D9D9D9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shd w:val="clear" w:color="auto" w:fill="D9D9D9"/>
            <w:noWrap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shd w:val="clear" w:color="FFFFFF" w:fill="D9D9D9"/>
            <w:noWrap/>
            <w:vAlign w:val="center"/>
          </w:tcPr>
          <w:p w:rsidR="00491925" w:rsidRPr="00E61811" w:rsidRDefault="0049192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</w:p>
        </w:tc>
        <w:tc>
          <w:tcPr>
            <w:tcW w:w="4093" w:type="dxa"/>
            <w:vMerge w:val="restart"/>
            <w:shd w:val="clear" w:color="FFFFFF" w:fill="D9D9D9"/>
            <w:noWrap/>
            <w:vAlign w:val="center"/>
          </w:tcPr>
          <w:p w:rsidR="00491925" w:rsidRPr="00E61811" w:rsidRDefault="00A50BBB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  <w:lang w:eastAsia="pl-PL"/>
              </w:rPr>
              <w:t>PARAMETRY OGÓLNE</w:t>
            </w:r>
          </w:p>
        </w:tc>
        <w:tc>
          <w:tcPr>
            <w:tcW w:w="2290" w:type="dxa"/>
            <w:vMerge w:val="restart"/>
            <w:shd w:val="clear" w:color="FFFFFF" w:fill="D9D9D9"/>
            <w:vAlign w:val="center"/>
          </w:tcPr>
          <w:p w:rsidR="00491925" w:rsidRPr="00E61811" w:rsidRDefault="0049192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</w:p>
        </w:tc>
        <w:tc>
          <w:tcPr>
            <w:tcW w:w="3126" w:type="dxa"/>
            <w:vMerge w:val="restart"/>
            <w:shd w:val="clear" w:color="FFFFFF" w:fill="D9D9D9"/>
            <w:noWrap/>
            <w:vAlign w:val="center"/>
          </w:tcPr>
          <w:p w:rsidR="00491925" w:rsidRPr="00E61811" w:rsidRDefault="00491925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white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Urządzenie kompletne i do jego uruchomienia oraz stosowania zgodnie z przeznaczeniem nie jest konieczny zakup dodatkowych elementów i akcesoriów.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 wersji do zawieszenia na kolumnę.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wyposażony w podstawę jezdną (tzw. wózek funkcyjny) pozwalającą na wykorzystanie urządzenia jako wersji jezdnej lub wózek serwisowy umożliwiający zdjęcie z kolumny i przetransportowanie urządzenia między salami lub w celach serwisowych.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przystosowany do pracy przy ciśnieniu sieci centralnej dla: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O, Powietrza od 2,7 kPa x 100</w:t>
            </w:r>
            <w:r w:rsidR="008963FC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wyposażony w podgrzewany system oddechowy. Możliwość wyłączenia i włączenia podgrzewania.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Aparat posiada akumulatorowe zasilanie wystarczające przez minimum 2 godziny pracy.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Powierzchnia robocza o szerokości co najmniej 50 cm.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Szuflada blokowana.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Aparat  wyposażony w wbudowane regulowane oświetlenie powierzchni roboczej. Możliwa jest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regulacja oświetlenia co najmniej trzystopniowo.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Na ekranie głównym respiratora lub na ekranie LCD monitora stanu aparatu do znieczulania możliwa jest prezentacja ciśnień gazów w sieci centralnej i w butlach rezerwowych.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posiada elektroniczny mieszalnik.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System bezpieczeństwa zapewniający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25% lub wyższy udział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w mieszaninie z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Prezentacja wirtualnych  przepływomierzy.</w:t>
            </w:r>
          </w:p>
        </w:tc>
        <w:tc>
          <w:tcPr>
            <w:tcW w:w="2290" w:type="dxa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Regulowany zawór ograniczający ciśnienie w trybie wentylacji ręcznej (APL) z funkcją natychmiastowego zwolnienia ciśnienia w układzie bez konieczności skręcania do minimum  lub zastosowanie zastawki APL. Elektroniczna prezentacja na ekranie aparatu.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04"/>
        </w:trPr>
        <w:tc>
          <w:tcPr>
            <w:tcW w:w="839" w:type="dxa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shd w:val="clear" w:color="auto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wyposażony w przepływomierz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do niezależnej podaży tlenu.</w:t>
            </w:r>
          </w:p>
        </w:tc>
        <w:tc>
          <w:tcPr>
            <w:tcW w:w="2290" w:type="dxa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systemowego  wyłączenia obecności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8963FC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DA21AA">
        <w:trPr>
          <w:trHeight w:val="230"/>
        </w:trPr>
        <w:tc>
          <w:tcPr>
            <w:tcW w:w="839" w:type="dxa"/>
            <w:vMerge w:val="restart"/>
            <w:noWrap/>
            <w:vAlign w:val="bottom"/>
          </w:tcPr>
          <w:p w:rsidR="00491925" w:rsidRPr="00E61811" w:rsidRDefault="00491925" w:rsidP="00DA21AA">
            <w:pPr>
              <w:spacing w:after="0" w:line="240" w:lineRule="auto"/>
              <w:ind w:left="50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bottom"/>
          </w:tcPr>
          <w:p w:rsidR="00491925" w:rsidRPr="00E61811" w:rsidRDefault="00A50BBB" w:rsidP="00DA21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RESPIRATOR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Jeśli centralne źródła zasilania dla 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powietrza ulegną awarii jednocześnie i nie jest dostępny gaz zastępczy to ze względów bezpieczeństwa możliwa jest kontynuacja pracy w trybach wentylacji automatycznej.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napędzany  elektrycznie sterowany elektronicznie.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modułowy turbinowy.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Rodzaje wentylacji: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kontrolowana objętościowo VC-CMV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synchronizowana VC-SIMV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kontrolowana ciśnieniowo PC-CMV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CPAP/PSV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ciśnieniowa PC-APRV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Man/Spon (ręczna)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39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Man/Spon z CPAP</w:t>
            </w:r>
            <w:r w:rsidR="008963FC"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Wentylacja typu PRVC lub AutoFlow lub PCV-VG.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Osiągalny przepływ wdechowy dla pacjentów dorosłych co najmniej 170 l/min.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częstości oddechowej minimalny od 4 do 100 oddechów/min.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plateau minimalny do 30%.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I:E minimalny od 4:1 do 1:4.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Zakres objętości oddechowej minimalny od 20 do 2000 ml.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Wyzwalacz przepływowy, podać zakres regulacji.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 zakres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Ciśnienie wdechowe regulowane w zakresie minimum od 3  do 80 hPa (cmH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Regulacja PEEP w zakresie minimalnym od 2 do 35 hPa (cmH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O). Wymagana funkcja WYŁ (OFF).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ekran dotykowy, pokrętło wyboru i potwierdzania ustawień.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Aparat posiada co najmniej trzy konfigurowane widoki  ekranu, możliwe do szybkiego wyboru przez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Konfiguracja urządzenia może być eksportowana oraz importowana do/z innych aparatów tożsamych.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Możliwa prezentacja krzywych ciśnienia w drogach oddechowych, stężenia CO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Prezentacja pętli oddechowych: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ciśnienie-objętość,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0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przepływ-objętość.</w:t>
            </w:r>
          </w:p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Prezentacja R, podatność dynamiczna </w:t>
            </w:r>
            <w:r w:rsidR="00C21C1B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układu oddechowego 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(Cdyn). Zapamiętanie pętli referencyjnej.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Wyświetlanie minitrendów przy krzywych oddechowych.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posiada trendy graficzne i tabelaryczne. Urządzenie wyświetla wartości zmierzonych dla konkretnych punktu w czasie. Posiada funkcje ZOOM+  i ZOOM-</w:t>
            </w:r>
            <w:r w:rsidR="008963FC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Pomiar i prezentacja objętości minutowej całkowitej i spontanicznej: MV i MVspon oraz częstości oddechowej całkowitej i spontanicznej RR i RRspon.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Respirator  wyposażony w funkcje 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prognozowania stężenia gazu znieczulającego na okres przyszłych 20 min</w:t>
            </w:r>
            <w:r w:rsidR="005F0195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ut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lub możliwość ustawienia docelowego końcowo wydechowego stężenia anestetyku.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funkcje przygotowania urządzenia do automatycznego ponownego uruchomienia łącznie z testem systemu. Możliwość ustawienia żądanego dnia i godziny kiedy urządzenie powinno być gotowe do pracy.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Rekrutacja płuc, manewr jednoetapowy i wieloetapowy.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Awaryjna podaż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anestetyku z parownika po awarii zasilania sieciowego i rozładowanym akumulatorze.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 posiada pauzę (wstrzymanie pracy respiratora i podaży gazów) do stosowania podczas znieczulenia miejscowego lub krótkich przerw terapii m.in. odłączenie lub intubacja). Regulowana kontrola czasu terapii. Aktywny pomiar gazów.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Respirator wyposażony w tryb monitorowania (wstrzymanie pracy respiratora i podaży gazów) do stosowania podczas znieczulenia miejscowego. Aktywny pomiar gazów.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Urządzenie posiada funkcje timera (odliczanie do zera od ustawionego czasu)- wyświetlana na  ekranie respiratora.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Prezentacja ΔVT (różnicy między objętością wdechową a wydechową).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Tryb typu: HLM, CBM, do stosowania gdy pacjent podłączony jest do maszyny  płucoserce.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funkcje stopera wyświetlającą na ekranie urządzenia.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Zmiana częstości oddechowej automatycznie zmienia czas wdechu (Ti) - tzw. blokada I:E, możliwe wyłączenie tej funkcjonalności przez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Zmiana PEEP automatycznie zmienia  ciśnienie Pwdech (różnica pomiędzy PEEP i Pwdech pozostaje stała) możliwe wyłączenie tej funkcjonalności przez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Ze względów bezpieczeństwa w razie awarii zasilania gazami automatyczne przełączenie na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gaz zastępczy: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po zaniku O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 xml:space="preserve"> na 100 % powietrze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po zaniku N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O na 100 % O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1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 xml:space="preserve">po zaniku </w:t>
            </w:r>
            <w:r w:rsidR="00C21C1B" w:rsidRPr="00E61811">
              <w:rPr>
                <w:rFonts w:ascii="Times New Roman" w:eastAsia="Times New Roman" w:hAnsi="Times New Roman"/>
                <w:sz w:val="20"/>
                <w:szCs w:val="20"/>
              </w:rPr>
              <w:t>p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owietrza na 100% O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  <w:vertAlign w:val="subscript"/>
              </w:rPr>
              <w:t>2</w:t>
            </w:r>
          </w:p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Poziom przepływu świeżego gazu pozostaje stały.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Możliwy jest pomiar i prezentacja wdechowego i wydechowego stężenia 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N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O, CO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anestetyków (sewofluran, izofluran, desfluran). Prezentacja xMAC (wartość MAC dostosowana do wieku pacjenta).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Funkcja ekonometru i trend ekonometru lub inna równoważna funkcja.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Automatyczne wstępne skalkulowanie parametrów wentylacji na podstawie wprowadzonej masy ciała i/lub wzrostu pacjenta.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czujniki przepływu:</w:t>
            </w:r>
          </w:p>
          <w:p w:rsidR="00C21C1B" w:rsidRPr="00E61811" w:rsidRDefault="00C21C1B" w:rsidP="00BE5E7A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wdechowy,</w:t>
            </w:r>
          </w:p>
          <w:p w:rsidR="00C21C1B" w:rsidRPr="00E61811" w:rsidRDefault="00C21C1B" w:rsidP="00BE5E7A">
            <w:pPr>
              <w:pStyle w:val="Akapitzlist"/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wydechowy.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Czujniki przepływu, wewnętrzne, nie podatne na uszkodzenia – pomiar ultradźwiękowy lub funkcjonalność aparatu pozwalająca na kontynuowanie terapii jeśli pomiar przepływu ulegnie awarii (uszkodzenie czujnika w trakcie zabiegu).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wyświetlania na ekranie respiratora aktualne ustawienie stężenia na parowniku. Monitorowanie poziomu napełnienia parownika.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wyświetlania ustawionych granic alarmowych w polach parametrów.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automatycznego dostosowania granic alarmowych w odniesieniu do aktualnie mierzonych wartości.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ciśnienia w drogach oddechowych.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objętości minutowej.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bezdechu generowany na podstawie analizy przepływu, ciśnienia, CO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stężenia anestetyku.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braku zasilania w gazy.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Alarm wykrycia drugiego anestetyku.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Oprogramowanie w języku polskim.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wyświetlania na  ekranie daty następnego przeglądu serwisowego.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eksportu do pamięci zewnętrznej USB: zrzutu ekranu, wyniku testu (gdy zachodzi potrzeba archiwizacji), trendów.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wyposażony w funkcje przepłukiwania i osuszania zespołu oddechowego.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Dostosowanie bieżącego widoku, pola parametrów na ekranie. Mogą być konfigurowane w czasie pracy zgodnie z  wymaganiami użytkownika.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Możliwe ustawienie różnych kolorów parametrów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 kolorów.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Ssak medyczny, inżektorowy zasilany powietrzem z przyłącza w aparacie. Dwa zbiorniki wielorazowe na wydzielinę.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Przewody zasilania gazami: O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 i Powietrze kodowane kolorami. Każdy przewód  o  długości1,5m. Wt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yki typu AGA.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Możliwość przeprowadzenia automatycznego testu systemu obejmującego testy wszystkich funkcji urządzenia oraz testu szczelności.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 ekranie respiratora prezentowana jest lista kontrolna w formie grafiki i tekstu objaśniającego poszczególne czynności do wykonania przed rozpoczęciem testu.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Respirator posiada układ odbierający gazy ze wskaźnikiem przepływu. Rura ewakuacji gazów o długości 1,5 m, wtyk do odciągu typu DIN.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Parownik do Sevofluranu.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1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Filtry przeciwpyłowe do wielorazowych zbiorników na wapno.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Aparat przygotowany do pracy z wielorazowym i jednorazowymi pochłaniaczami CO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 W dostawie 6 zbiorników jednorazowych z wapnem sodowanym. W dostawie jeden zbiornik wielorazowego użytku.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Jednorazowe wkłady na wydzielinę z żelem.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25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Jednorazowe dreny do odsysania.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25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Jednorazowe układy oddechowe, długość rur: wdechowej i wydechowej 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 cm, worek oddechowy 2</w:t>
            </w:r>
            <w:r w:rsidR="00DA397E"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</w:t>
            </w:r>
            <w:r w:rsidRPr="00E6181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25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Pułapki wodne zabezpieczające moduł gazowy.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12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A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Linie próbkujące.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Tak, 10 szt.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KARDIOMONITOR DO APARATU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Stanowisko monitorowania zainstalowane na aparacie do znieczulenia składające się z: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 xml:space="preserve">jednostki głównej z ekranem </w:t>
            </w:r>
            <w:r w:rsidR="001D5AA3" w:rsidRPr="00E61811">
              <w:rPr>
                <w:rFonts w:ascii="Times New Roman" w:eastAsia="Times New Roman" w:hAnsi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15’’,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odłączanego modułu transportowego,</w:t>
            </w:r>
          </w:p>
          <w:p w:rsidR="00491925" w:rsidRPr="00E61811" w:rsidRDefault="00A50BBB" w:rsidP="00BE5E7A">
            <w:pPr>
              <w:pStyle w:val="Akapitzlist"/>
              <w:numPr>
                <w:ilvl w:val="0"/>
                <w:numId w:val="43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/>
                <w:sz w:val="20"/>
                <w:szCs w:val="20"/>
              </w:rPr>
              <w:t>stacji dokującej na moduł transportowy i inne moduły pomiarowe.</w:t>
            </w:r>
          </w:p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Moduły pomiarowe jedno lub wieloparametrowe z możliwością wykorzystania w kardiomonitorach używanych w obszarze Bloku Operacyjnego Zamawiającego. Wszystkie elementy muszą spełniać wymagania normy EN60601-1 dla urządzeń medycznych.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Konstrukcja zapobiegająca wchłanianiu kurzu i rozprzestrzenianiu się infekcji - chłodzenie kardiomonitora konwekcyjne, bez wbudowanych wiatraków / wentylatorów</w:t>
            </w:r>
            <w:r w:rsidR="008963FC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Obudowa kardiomonitora łatwa do czyszczenia, kroploszczelna, odporna na środki dezynfekcyjne. Klasa zabezpieczenia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IPX1.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wykorzystania odłączanego elementu kardiomonitora jako monitora transportowego, z funkcjami pomiaru co najmniej EKG, oddechu, tętna, saturacji i ciśnienia krwi.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Element / moduł transportowy wyposażony w uchwyt do przenoszenia, zasilanie akumulatorowe, wyświetlacz, system alarmów, pamięć pomiarów i danych demograficznych pacjenta.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Wysoka odporność na zabrudzenia, zalanie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IP22), wstrząsy, uderzenia, upadki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0,75 m) potwierdzona w dokumentach producenta. Automatyczne ładowanie akumulatora po zadokowaniu w kardiomonitorze. Pełny dostęp do elementów sterujących i ekranu również po zadokowaniu w kardiomonitorze.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Masa modułu transportowego nie większa niż 1,5 kg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Ekran modułu transportowego dotykowy o przekątnej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6’’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Transfer pacjenta na stanowisko monitorowania w sali pooperacyjnej wraz z przenoszeniem modułu transportowego do innego kardiomonitora bez konieczności przełączania kabli, czujników, mankietów itp. – automatyczne przeniesienie danych pacjenta i ustawień monitora oraz  przyjęcie do istniejącej centrali monitorującej bez konieczności ponownego wpisywania danych demograficznych.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Zasilanie akumulatorowe w kardiomonitorze: czas pracy na akumulatorze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120 minut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Zasilanie w module transportowym; czas pracy na akumulatorze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180 minut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Zasilacz sieciowy 230V/50Hz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Akumulatory kardiomonitora i modułu transportowego łatwo dostępne dla użytkownika, wymiana nie wymagająca użycia narzędzi ani udziału serwisu</w:t>
            </w:r>
            <w:r w:rsidR="005F0195" w:rsidRPr="00E618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Kardiomonitor wyposażony w ekran kolorowy TFT o wysokiej rozdzielczości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1200 x 700 pikseli, przekątna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 cali. Duże, czytelne odczyty numeryczne oraz krzywe dynamiczne. Możliwość dopasowania zawartości ekranu do aktualnych potrzeb użytkownika bez udziału serwisu. Możliwość zatrzymania przebiegów na ekranie. Możliwość zapisania w pamięci własnych układów ekranu utworzonych przez użytkownika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konfiguracji) bez udziału serwisu.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Regulacja jasności ekranu.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Dostęp do wszystkich funkcji monitora za pomocą ekranu dotykowego i menu w języku polskim.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Pamięć różnych ustawień parametrów kardiomonitora z możliwością dowolnego przywoływania bez przerywania pracy –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 różnych profili.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Wszystkie kardiomonitory muszą być przygotowane do włączenia w system centralnego monitorowania Intellivue posiadany przez Zamawiającego w obszarze Bloku Operacyjnego. Możliwość wydruków funkcji życiowych i raportów z poziomu kardiomonitora na centralnej drukarce.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Alarmy dźwiękowe i wizualne wszystkich monitorowanych parametrów oraz zaburzeń rytmu serca.  Możliwość zawieszania alarmów dźwiękowych na wybrany okres czasu od 1 do 5 minut oraz na stałe. Możliwość wyłączania alarmów poszczególnych parametrów.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Zapamiętywanie zdarzeń alarmowych wraz z odcinkami krzywych dynamicznych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4 krzywe).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Regulacja głośności alarmów dźwiękowych z zabezpieczeniem przed całkowitym wyciszeniem.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PARAMETRY MONITOROWANE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Możliwość prezentacji 3, 7 i 12 odprowadzeń EKG z maksymalnie 6 elektrod. Pomiar HR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15-300 /min z dokładnością +/-1%. Alarm niskiej i wysokiej wartości HR.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Pomiar, prezentacja i alarmy wartości QT i ST we wszystkich odprowadzeniach.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Rozszerzona analiza i alarmy zaburzeń rytmu, co najmniej asystolii, bradykardii, tachykardii, R/T, SV, migotania przedsionków i komór.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impedancyjny liczby oddechów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0-120 oddechów/min z dokładnością nie gorszą niż +/- 1 oddechów/min. Regulowane opóźnienie alarmu bezdechu.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PomiarSpO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technologii o udokumentowanej odporności na zakłócenia: Masimo lub FAST.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Pomiar SpO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70-100% z dokładnością nie gorszą niż +/-2%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tętna (PR)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30-250/min z dokładnością nie gorszą niż +/-2%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stosowania czujników różnych producentów (co najmniej Nellcor i Masimo).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Czujniki SpO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wielorazowego użytku, odporne na uszkodzenia, wykonane z miękkiego materiału, nie zawierające lateksu i elementów mechanicznych (śrub, sprężyn itp.), z możliwością dezynfekcji przez zanurzenie w płynie. Przewód połączeniowy 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3m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ciśnienia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minimalnym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10-270 mmHg, maksymalny błąd średni nie większy niż 5 mmHg.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Typowy czas pomiaru nie dłuższy niż 30 sekund.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Programowane odstępy między pomiarami automatycznymi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minimalnym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od 1 minuty do 60 minut. Funkcja stazy ułatwiająca nakłucie żyły.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Zabezpieczenie przed zbyt wysokim ciśnieniem w mankiecie. Minimum 3 mankiety wielorazowe w różnych rozmiarach oraz przewód do mankietów (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m)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Wyświetlanie tabeli zawierającej wyniki poprzednich pomiarów ciśnienia na ekranie głównym obok aktualnie mierzonych wartości.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1C1B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C21C1B" w:rsidRPr="00E61811" w:rsidRDefault="00C21C1B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Pomiar temperatury w zakresie </w:t>
            </w:r>
            <w:r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minimalnym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25-45°C, dokładność nie gorsza niż 0,1°C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C21C1B" w:rsidRPr="00E61811" w:rsidRDefault="00C21C1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Czujnik powierzchniowy lub głęboki </w:t>
            </w:r>
            <w:r w:rsidR="005F0195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C21C1B" w:rsidRPr="00E61811" w:rsidRDefault="00C21C1B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Inwazyjny pomiar ciśnienia (IBP) –pomiar w 2 kanałach.Zakres</w:t>
            </w:r>
            <w:r w:rsidR="001D5AA3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 xml:space="preserve">minimalny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od -40 do +300 mmHg, dokładność całkowita (zprzetwornikiem) nie gorsza niż +/-4% lub +/-4mmHg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Przewód pomiarowy 2 szt.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Monitorowanie zwiotczenia (NMT)</w:t>
            </w:r>
            <w:r w:rsidR="008963FC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Default="00A50BBB" w:rsidP="00BE5E7A">
            <w:pPr>
              <w:jc w:val="both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r w:rsidRPr="00647CBD"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  <w:t>Monitorowanie głębokości znieczulenia (BIS)</w:t>
            </w:r>
            <w:r w:rsidR="008963FC" w:rsidRPr="00647CBD"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  <w:t>.</w:t>
            </w:r>
          </w:p>
          <w:p w:rsidR="00647CBD" w:rsidRPr="00647CBD" w:rsidRDefault="00647CBD" w:rsidP="00BE5E7A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47CB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Monitorowanie głębokości znieczulenia (BIS) nie jest wymagane, w przypadku gdy za</w:t>
            </w:r>
            <w:r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o</w:t>
            </w:r>
            <w:r w:rsidRPr="00647CB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ferowany kardiomonitor będzie kompatybilny z modułami realizującymi tą funkcję.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spacing w:after="0" w:line="240" w:lineRule="auto"/>
              <w:ind w:left="50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INNE PARAMETRY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Default="00A50BBB" w:rsidP="00BE5E7A">
            <w:pPr>
              <w:jc w:val="both"/>
              <w:rPr>
                <w:rFonts w:ascii="Times New Roman" w:eastAsia="Times New Roman" w:hAnsi="Times New Roman" w:cs="Times New Roman"/>
                <w:strike/>
                <w:sz w:val="20"/>
              </w:rPr>
            </w:pPr>
            <w:r w:rsidRPr="00E61811">
              <w:rPr>
                <w:rFonts w:ascii="Times New Roman" w:hAnsi="Times New Roman" w:cs="Times New Roman"/>
              </w:rPr>
              <w:br/>
            </w:r>
            <w:r w:rsidRPr="00647CBD">
              <w:rPr>
                <w:rFonts w:ascii="Times New Roman" w:eastAsia="Times New Roman" w:hAnsi="Times New Roman" w:cs="Times New Roman"/>
                <w:strike/>
                <w:sz w:val="20"/>
              </w:rPr>
              <w:t>Możliwość rozbudowy o dostęp na ekranie kardiomonitora do danych ze szpitalnego systemu informatycznego, w szczególności wyników badań laboratoryjnych lub obrazowych. Funkcjonalność określona w niniejszym punkcie jest niezależna od obowiązkowej integracji aparatu do znieczulenia i kardiomonitora z systemami AMMS i Elektroniczną Kartą Znieczuleń (EKZ) producenta TDZ Technika dla Zdrowia Sp. z</w:t>
            </w:r>
            <w:r w:rsidRPr="00824E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 w:rsidRPr="00647CBD">
              <w:rPr>
                <w:rFonts w:ascii="Times New Roman" w:eastAsia="Times New Roman" w:hAnsi="Times New Roman" w:cs="Times New Roman"/>
                <w:strike/>
                <w:sz w:val="20"/>
              </w:rPr>
              <w:t>o.o., opisanej poniżej. Spełnienie niniejszego punktu nie zastępuje wykonania wymaganej integracji informatycznej.</w:t>
            </w:r>
          </w:p>
          <w:p w:rsidR="00647CBD" w:rsidRDefault="00647CBD" w:rsidP="00647CB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Wykonanie integracji aparatu do znieczulenia i kardiomonitora z systemem Elektronicznej Karty Znieczuleń (EKZ) producenta TDZ Technika dla Zdrowia Sp. z o.o., opisanej poniżej.</w:t>
            </w:r>
          </w:p>
          <w:p w:rsidR="00647CBD" w:rsidRPr="00647CBD" w:rsidRDefault="00647CBD" w:rsidP="00BE5E7A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>Spełnienie niniejszego punktu nie zastępuje wykonania wymaganej integracji informatycznej.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Trendy graficzne i tabelaryczne mierzonych parametrów z okresu </w:t>
            </w:r>
            <w:r w:rsidR="00DA397E" w:rsidRPr="00E61811">
              <w:rPr>
                <w:rFonts w:ascii="Times New Roman" w:eastAsia="Times New Roman" w:hAnsi="Times New Roman" w:cs="Times New Roman"/>
                <w:color w:val="00000A"/>
                <w:sz w:val="20"/>
                <w:szCs w:val="20"/>
              </w:rPr>
              <w:t>minimum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24 godzin.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rozbudowy o bezprzewodową komunikację z centralą monitorującą.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doposażenia w moduły pomiarowe innych parametrów m.in. PiCCO, CO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O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pomiar stężenia anestetyków wziewnych.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A50BB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1925" w:rsidRPr="00E61811" w:rsidTr="00BE5E7A">
        <w:trPr>
          <w:trHeight w:val="230"/>
        </w:trPr>
        <w:tc>
          <w:tcPr>
            <w:tcW w:w="839" w:type="dxa"/>
            <w:vMerge w:val="restart"/>
            <w:noWrap/>
            <w:vAlign w:val="center"/>
          </w:tcPr>
          <w:p w:rsidR="00491925" w:rsidRPr="00E61811" w:rsidRDefault="00491925" w:rsidP="00BE5E7A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093" w:type="dxa"/>
            <w:vMerge w:val="restart"/>
            <w:shd w:val="clear" w:color="FFFFFF" w:fill="FFFFFF"/>
            <w:vAlign w:val="center"/>
          </w:tcPr>
          <w:p w:rsidR="00491925" w:rsidRPr="00E61811" w:rsidRDefault="00A50BBB" w:rsidP="00BE5E7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Możliwość rozbudowy o funkcję odbierania i prezentacji danych z aparatów do znieczulenia różnych producentów, w tym prezentację pętli oddechowych (ciśnienie-objętość, ciśnienie-przepływ, objętość-przepływ) i wydruk raportów pętli.</w:t>
            </w:r>
          </w:p>
        </w:tc>
        <w:tc>
          <w:tcPr>
            <w:tcW w:w="2290" w:type="dxa"/>
            <w:vMerge w:val="restart"/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  <w:r w:rsidR="00F6717A" w:rsidRPr="00E61811">
              <w:rPr>
                <w:rFonts w:ascii="Times New Roman" w:eastAsia="Times New Roman" w:hAnsi="Times New Roman" w:cs="Times New Roman"/>
                <w:sz w:val="20"/>
                <w:szCs w:val="20"/>
              </w:rPr>
              <w:t>, podać</w:t>
            </w:r>
          </w:p>
        </w:tc>
        <w:tc>
          <w:tcPr>
            <w:tcW w:w="3126" w:type="dxa"/>
            <w:vMerge w:val="restart"/>
            <w:noWrap/>
            <w:vAlign w:val="center"/>
          </w:tcPr>
          <w:p w:rsidR="00491925" w:rsidRPr="00E61811" w:rsidRDefault="00491925" w:rsidP="00BE5E7A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50334" w:rsidRDefault="00A50334">
      <w:pPr>
        <w:spacing w:after="60"/>
        <w:jc w:val="center"/>
        <w:rPr>
          <w:rFonts w:ascii="Times New Roman" w:eastAsia="Times New Roman" w:hAnsi="Times New Roman" w:cs="Times New Roman"/>
          <w:b/>
          <w:sz w:val="20"/>
          <w:highlight w:val="yellow"/>
        </w:rPr>
      </w:pPr>
    </w:p>
    <w:p w:rsidR="006F17DC" w:rsidRPr="00824E64" w:rsidRDefault="00F36839">
      <w:pPr>
        <w:spacing w:after="60"/>
        <w:jc w:val="center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WYMAGANIA DOTYCZĄCE INTEGRACJI INFORMATYCZNEJ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1. Środowisko Zamawiającego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1. Zamawiający eksploatuje: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1) system HIS/EDM AMMS firmy Asseco Poland S.A., wersja eksploatowana przez Zamawiającego na dzień wykonywania integracji;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2) system Elektronicznej Karty Znieczuleń (EKZ) producenta TDZ Technika dla Zdrowia Sp. z o.o., wersja eksploatowana przez Zamawiającego na dzień wykonywania integracji;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3) system centralnego monitorowania IntelliVue w obszarze Bloku Operacyjnego.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2. Włączenie kardiomonitora do systemu centralnego monitorowania IntelliVue jest wymaganiem odrębnym od integracji z AMMS i EKZ i nie zastępuje tej integracji.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2. Obowiązek wykonania integracji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3. W ramach realizacji Części 1 Wykonawca zobowiązany jest wykonać, skonfigurować, uruchomić, przetestować i przekazać Zamawiającemu do eksploatacji kompletną integrację aparatu do znieczulenia wraz z kardiomonitorem z systemami informatycznymi Zamawiającego w zakresie określonym poniżej.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4. Przez wykonanie integracji rozumie się osiągnięcie w środowisku Zamawiającego wymaganego rezultatu funkcjonalnego, a nie wyłącznie: dostarczenie urządzenia posiadającego techniczną możliwość integracji; udostępnienie portu komunikacyjnego; dostarczenie licencji; dostarczenie interfejsu; deklarację gotowości urządzenia do integracji; wskazanie możliwości wykonania integracji w przyszłości.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5. Integracja musi być uruchomiona produkcyjnie i zakończona pozytywnym wynikiem testów odbiorowych przed podpisaniem bez zastrzeżeń końcowego protokołu zdawczo-odbiorczego.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3. Sposób technicznej realizacji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6. Zamawiający nie narzuca konkretnego sposobu technicznego realizacji integracji, o ile zaoferowane rozwiązanie zapewnia wymagany rezultat funkcjonalny.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7. Dopuszcza się w szczególności integrację bezpośrednią, za pośrednictwem EKZ, za pośrednictwem systemu integracyjnego, gatewaya, middleware lub serwera komunikacyjnego, przy użyciu standardów HL7, FHIR, REST API, Web Services lub innych wspieranych interfejsów producentów.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8. Zastosowanie konkretnego standardu komunikacyjnego nie jest wymaganiem samoistnym. Rozwiązanie musi być zgodne z interfejsami udostępnianymi i wspieranymi przez systemy uczestniczące w integracji.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9. Niedopuszczalne jest bezpośrednie dokonywanie zapisów lub zmian w bazach danych AMMS albo EKZ z pominięciem mechanizmów integracyjnych przewidzianych lub zaakceptowanych przez producenta danego systemu, chyba że Zamawiający uprzednio zaakceptuje takie rozwiązanie.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4. Identyfikacja pacjenta i epizodu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10. Integracja musi zapewniać jednoznaczne powiązanie danych pochodzących z aparatu do znieczulenia i kardiomonitora z właściwym pacjentem oraz właściwym epizodem medycznym/hospitalizacją/zabiegiem.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11. W zakresie udostępnianym przez AMMS/EKZ integracja powinna wykorzystywać co najmniej: identyfikator pacjenta; imię i nazwisko; PESEL lub inny identyfikator, jeżeli jest dostępny; datę urodzenia; płeć; identyfikator hospitalizacji/epizodu; identyfikator zabiegu lub zlecenia, jeżeli jest stosowany.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12. Dane, które są dostępne w systemach Zamawiającego i objęte integracją, powinny być pozyskiwane automatycznie bez konieczności ich ponownego ręcznego przepisywania przez użytkownika.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13. Niedopuszczalne jest przypisanie danych klinicznych do niewłaściwego pacjenta, niewłaściwej hospitalizacji lub niewłaściwego zabiegu.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5. Dane z kardiomonitora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14. Integracja musi zapewniać automatyczne przekazywanie do EKZ parametrów monitorowanych przez zaoferowany kardiomonitor, jeżeli parametry te są dostępne przez interfejs zaoferowanego urządzenia i obsługiwane przez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15. Zakres powinien obejmować co najmniej, jeżeli dany parametr jest mierzony i obsługiwany przez EKZ: HR; SpO2; NIBP: SYS, DIA, MAP; IBP; częstość oddechową; temperaturę; BIS; NMT.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6. Dane z aparatu do znieczulenia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16. Integracja musi zapewniać automatyczne przekazywanie do EKZ parametrów aparatu do znieczulenia, jeżeli są one dostępne przez interfejs zaoferowanego urządzenia i obsługiwane przez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17. Zakres powinien obejmować co najmniej, jeżeli dany parametr jest dostępny: EtCO2; O2/FiO2; stężenie stosowanego anestetyku; N2O, jeżeli jest stosowany; MAC lub parametr równoważny; VT; MV; częstość wentylacji; PEEP; ciśnienia w drogach oddechowych; inne parametry aparatu standardowo obsługiwane przez wykorzystywany interfejs i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18. Przekazywane dane muszą zachowywać prawidłowe znaczenie parametru, wartości, jednostki, znaczniki czasu oraz przypisanie do pacjenta i epizodu.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7. EKZ - AMMS/EDM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19. Wykonawca musi zapewnić takie wykonanie integracji urządzenia z EKZ, aby dane pozyskane z urządzenia mogły być wykorzystane w elektronicznej dokumentacji znieczulenia prowadzonej w EKZ.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20. Po zakończeniu dokumentacji znieczulenia dokument musi być dostępny w systemach Zamawiającego zgodnie z istniejącym u Zamawiającego obiegiem EKZ-AMMS/EDM.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21. Jeżeli wymagana funkcjonalność AMMS/EDM jest realizowana przez istniejącą integrację EKZ-AMMS i nie wymaga bezpośredniego podłączenia urządzenia do AMMS, dopuszcza się taką architekturę.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22. W takim przypadku wymaganym rezultatem jest poprawne działanie całego procesu: AMMS / dane pacjenta i epizodu -&gt; EKZ -&gt; aparat do znieczulenia/kardiomonitor -&gt; EKZ -&gt; istniejący obieg AMMS/EDM, w zakresie funkcji obsługiwanych przez eksploatowane systemy.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8. Synchronizacja i ciągłość transmisji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23. Urządzenia i komponenty integracyjne muszą zapewniać znaczniki czasu zgodne z czasem obowiązującym w infrastrukturze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24. Utrata komunikacji informatycznej nie może powodować zatrzymania podstawowych funkcji klinicznych aparatu do znieczulenia ani kardiomonitora.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25. Użytkownik musi mieć możliwość rozpoznania wystąpienia problemu z transmisją danych.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26. Po przywróceniu komunikacji rozwiązanie powinno zapewnić, jeżeli pozwalają na to techniczne możliwości systemów: prawidłowe wznowienie transmisji; przekazanie danych zbuforowanych; brak nieuzasadnionej duplikacji; brak przypisania danych do niewłaściwego pacjenta.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9. Koszty i kompletność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27. Oferowane rozwiązanie musi być kompletne.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28. Cena oferty musi obejmować wszystkie elementy leżące po stronie rozwiązania zaoferowanego przez Wykonawcę, niezbędne do wykonania wymaganej integracji, w szczególności: licencje komunikacyjne urządzenia; moduły sprzętowe; karty sieciowe i komunikacyjne; gatewaye; middleware; sterowniki; oprogramowanie integracyjne; konfigurację; wdrożenie; testy; dokumentację; prace producenta urządzenia lub podmiotów, którymi Wykonawca posługuje się przy realizacji swojego rozwiązania.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29. Wykonawca nie może żądać dodatkowego wynagrodzenia za element rozwiązania, którego konieczność wynika z właściwości zaoferowanego przez niego urządzenia lub technologii integracji.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30. Koszty prac/licencji po stronie istniejących systemów AMMS i EKZ wymagają jednoznacznego określenia przez Zamawiającego przed publikacją SWZ. Do wersji publikowanej należy pozostawić wyłącznie jeden z poniższych modeli kosztowych.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MODEL A - koszty po stronie Wykonawcy: Cena oferty obejmuje także ujawnione w dokumentacji postępowania koszty prac i licencji dostawców systemów AMMS oraz EKZ niezbędne do realizacji integracji.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MODEL B - koszty po stronie Zamawiającego: Zamawiający zapewni we własnym zakresie i na własny koszt prace oraz licencje po stronie istniejących systemów AMMS/EKZ wskazane w dokumentacji postępowania. Wykonawca ponosi wszystkie koszty leżące po stronie dostarczanego przez siebie urządzenia i rozwiązania integracyjnego.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UWAGA REDAKCYJNA: przed publikacją usunąć jeden z powyższych modeli i pozostawić wyłącznie model przyjęty przez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10. Cyberbezpieczeństwo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31. Przed podłączeniem urządzenia do sieci produkcyjnej Wykonawca przekaże Działowi Informatyki: schemat architektury; schemat przepływu danych; wykaz wymaganych adresów i połączeń; wykaz portów i protokołów; kierunki inicjowania połączeń; wykaz wymaganych połączeń z Internetem; wykaz kont technicznych i zakres ich uprawnień; sposób uwierzytelniania; sposób synchronizacji czasu; opis sposobu aktualizacji; opis zdalnego dostępu serwisowego, jeżeli występuje.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32. Zdalny dostęp może być realizowany wyłącznie w sposób zaakceptowany przez Dział Informatyki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33. Niedopuszczalne jest pozostawienie nieuzgodnionego oprogramowania do zdalnego dostępu.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34. Nie dopuszcza się przekazywania danych medycznych poza infrastrukturę Zamawiającego bez uprzedniej zgody Zamawiającego i spełnienia wymagań dotyczących ochrony danych oraz bezpieczeństwa.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11. Dokumentacja powykonawcza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35. Przed odbiorem Wykonawca przekaże: dokumentację architektury; opis przepływu danych; wykaz przesyłanych parametrów; wykaz protokołów/interfejsów; wykaz portów i połączeń; wykaz licencji; wykaz komponentów rozwiązania; procedurę diagnostyki awarii integracji; procedurę odtworzenia konfiguracji; dane kontaktowe do zgłaszania problemów integracyjnych.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12. Odbiór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36. Warunkiem końcowego odbioru Części 1 jest pozytywne zakończenie testów integracyjnych wykonanych w środowisku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37. Testy wykonywane są z udziałem przedstawiciela Wykonawcy, przedstawiciela Działu Informatyki Zamawiającego oraz przedstawiciela Anestezjologii/Bloku Operacyjnego.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38. Wynik testów dokumentowany jest „Protokołem odbioru integracji informatycznej aparatu do znieczulenia i kardiomonitora z AMMS i EKZ”.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39. Negatywny wynik obligatoryjnego testu oznacza, że integracja nie została wykonana.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40. Samo wykazanie możliwości technicznej urządzenia, dostarczenie instrukcji lub demonstracja funkcjonalności nie zastępują pozytywnego testu wykonanego w środowisku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41. Brak prawidłowo działającej integracji uprawnia Zamawiającego do odmowy podpisania bez zastrzeżeń końcowego protokołu zdawczo-odbiorczego Części 1.</w:t>
      </w:r>
    </w:p>
    <w:p w:rsidR="00F54823" w:rsidRDefault="00F54823">
      <w:pPr>
        <w:spacing w:after="60"/>
        <w:rPr>
          <w:rFonts w:ascii="Times New Roman" w:eastAsia="Times New Roman" w:hAnsi="Times New Roman" w:cs="Times New Roman"/>
          <w:b/>
          <w:sz w:val="20"/>
        </w:rPr>
      </w:pP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OŚWIADCZENIE WYKONAWCY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Wykonawca oświadcza, że zapoznał się z wymaganiami integracyjnymi Zamawiającego oraz że zaoferowany aparat do znieczulenia, kardiomonitor i oferowane wraz z nimi rozwiązanie umożliwiają wykonanie wymaganej integracji w zakresie określonym w SWZ, w ramach ceny oferty, z uwzględnieniem zasad dotyczących kosztów prac po stronie systemów AMMS i EKZ określonych przez Zamawiającego.</w:t>
      </w:r>
    </w:p>
    <w:p w:rsidR="006F17DC" w:rsidRPr="00824E64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b/>
          <w:sz w:val="20"/>
        </w:rPr>
        <w:t>PARAMETR OFEROWANY:  TAK / NIE</w:t>
      </w:r>
    </w:p>
    <w:p w:rsidR="006F17DC" w:rsidRPr="00E61811" w:rsidRDefault="00F36839">
      <w:pPr>
        <w:spacing w:after="60"/>
        <w:rPr>
          <w:rFonts w:ascii="Times New Roman" w:hAnsi="Times New Roman" w:cs="Times New Roman"/>
        </w:rPr>
      </w:pPr>
      <w:r w:rsidRPr="00824E64">
        <w:rPr>
          <w:rFonts w:ascii="Times New Roman" w:eastAsia="Times New Roman" w:hAnsi="Times New Roman" w:cs="Times New Roman"/>
          <w:sz w:val="20"/>
        </w:rPr>
        <w:t>Brak potwierdzenia „TAK” oznacza niespełnienie wymagania.</w:t>
      </w:r>
    </w:p>
    <w:p w:rsidR="00491925" w:rsidRPr="00E61811" w:rsidRDefault="00491925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491925" w:rsidRPr="00A50334" w:rsidRDefault="00DE1B9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A5033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(</w:t>
      </w:r>
      <w:r w:rsidR="00A50BBB" w:rsidRPr="00A5033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491925" w:rsidRPr="00E61811" w:rsidRDefault="004919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b/>
          <w:sz w:val="20"/>
          <w:szCs w:val="20"/>
        </w:rPr>
        <w:t>Uwaga:</w:t>
      </w:r>
      <w:r w:rsidRPr="00E61811"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  <w:r w:rsidR="008963FC" w:rsidRPr="00E61811">
        <w:rPr>
          <w:rFonts w:ascii="Times New Roman" w:hAnsi="Times New Roman" w:cs="Times New Roman"/>
          <w:sz w:val="20"/>
          <w:szCs w:val="20"/>
        </w:rPr>
        <w:t>.</w:t>
      </w:r>
    </w:p>
    <w:p w:rsidR="008963FC" w:rsidRPr="00E61811" w:rsidRDefault="008963F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Default="00A50BB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 w:rsidRPr="00E61811">
        <w:rPr>
          <w:rFonts w:ascii="Times New Roman" w:hAnsi="Times New Roman" w:cs="Times New Roman"/>
          <w:sz w:val="20"/>
          <w:szCs w:val="20"/>
        </w:rPr>
        <w:t>.</w:t>
      </w:r>
    </w:p>
    <w:p w:rsidR="00F54823" w:rsidRPr="00E61811" w:rsidRDefault="00F5482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"/>
        <w:gridCol w:w="1981"/>
        <w:gridCol w:w="3948"/>
        <w:gridCol w:w="4144"/>
      </w:tblGrid>
      <w:tr w:rsidR="00491925" w:rsidRPr="00E61811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 w:rsidP="00DE1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491925" w:rsidRPr="00E61811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491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491925" w:rsidRPr="00E61811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491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4919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 w:rsidRPr="00E618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 w:rsidRPr="00E6181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925" w:rsidRPr="00E61811" w:rsidRDefault="00A50BB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E5E7A" w:rsidRDefault="00BE5E7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50334" w:rsidRDefault="00A5033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9"/>
      </w:tblGrid>
      <w:tr w:rsidR="00491925" w:rsidRPr="00E61811">
        <w:trPr>
          <w:trHeight w:val="279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491925" w:rsidRPr="00E61811">
        <w:trPr>
          <w:trHeight w:val="530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91925" w:rsidRPr="00E61811" w:rsidRDefault="00A50B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</w:t>
            </w:r>
          </w:p>
          <w:p w:rsidR="00491925" w:rsidRPr="00E61811" w:rsidRDefault="00A50BB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Dostawa </w:t>
            </w:r>
            <w:r w:rsidRPr="00E6181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aparatu do znieczulenia wraz z kardiomonitorem  - 1 sztuka</w:t>
            </w:r>
          </w:p>
        </w:tc>
      </w:tr>
    </w:tbl>
    <w:p w:rsidR="00491925" w:rsidRPr="00E61811" w:rsidRDefault="004919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125"/>
      </w:tblGrid>
      <w:tr w:rsidR="00491925" w:rsidRPr="00E61811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491925" w:rsidRPr="00E61811" w:rsidRDefault="00A50BBB" w:rsidP="00A50334">
            <w:pPr>
              <w:spacing w:after="0" w:line="240" w:lineRule="auto"/>
              <w:ind w:hanging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E618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491925" w:rsidRPr="00E61811" w:rsidRDefault="00A50B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618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491925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925" w:rsidRPr="00E61811" w:rsidRDefault="00491925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91925" w:rsidRPr="00E61811" w:rsidRDefault="00A50BB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Termin gwarancji przedmiotu zamówienia </w:t>
            </w:r>
            <w:r w:rsidR="00DA397E" w:rsidRPr="00E61811">
              <w:rPr>
                <w:rFonts w:ascii="Times New Roman" w:hAnsi="Times New Roman"/>
                <w:sz w:val="20"/>
                <w:szCs w:val="20"/>
                <w:lang w:val="pl-PL"/>
              </w:rPr>
              <w:t>minimum</w:t>
            </w: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24 miesiące liczony od daty podpisania bez zastrzeżeń „Protokołu zdawczo-odbiorczego”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1925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91925" w:rsidRPr="00E61811" w:rsidRDefault="004919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21C1B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C21C1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1C1B" w:rsidRPr="00E61811" w:rsidRDefault="00C21C1B" w:rsidP="00C21C1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C1B" w:rsidRPr="00E61811" w:rsidRDefault="00C21C1B" w:rsidP="00C21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21C1B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C21C1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1C1B" w:rsidRPr="00E61811" w:rsidRDefault="00C21C1B" w:rsidP="00C21C1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 w:rsidRPr="00E61811"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 w:rsidRPr="00E61811"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C1B" w:rsidRPr="00E61811" w:rsidRDefault="00C21C1B" w:rsidP="00C21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C21C1B" w:rsidRPr="00E61811" w:rsidTr="00BE5E7A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C21C1B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21C1B" w:rsidRPr="00E61811" w:rsidRDefault="00C21C1B" w:rsidP="00C21C1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134ºC, czas ekspozycji 7 min</w:t>
            </w:r>
            <w:r w:rsidR="005F0195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121ºC czas ekspozycji 20 min</w:t>
            </w:r>
            <w:r w:rsidR="005F0195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ut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 lub w sterylizacji plazmowej w temperaturze 45</w:t>
            </w:r>
            <w:r w:rsidR="005F0195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º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C czas ekspozycji 28 minut.  Jeżeli urządzenie wymaga demontażu przed procesem dekontaminacji</w:t>
            </w:r>
            <w:r w:rsidR="008963FC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,</w:t>
            </w:r>
            <w:r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personel Centralnej Sterylizatorni Zamawiającego zostanie przeszkolony w tym zakresie przez przedstawiciela Wykonawcy</w:t>
            </w:r>
            <w:r w:rsidR="008963FC" w:rsidRPr="00E61811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1C1B" w:rsidRPr="00E61811" w:rsidRDefault="00C21C1B" w:rsidP="00BE5E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1811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1C1B" w:rsidRPr="00E61811" w:rsidRDefault="00C21C1B" w:rsidP="00C21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491925" w:rsidRPr="00E61811" w:rsidRDefault="00A50BB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E61811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Pr="00E61811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Pr="00E61811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A50B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1811">
        <w:rPr>
          <w:rFonts w:ascii="Times New Roman" w:hAnsi="Times New Roman" w:cs="Times New Roman"/>
          <w:sz w:val="20"/>
          <w:szCs w:val="20"/>
        </w:rPr>
        <w:t xml:space="preserve">Oświadczam, że oferowany powyżej sprzęt medyczny </w:t>
      </w:r>
      <w:r w:rsidR="000426C3" w:rsidRPr="00E61811">
        <w:rPr>
          <w:rFonts w:ascii="Times New Roman" w:hAnsi="Times New Roman" w:cs="Times New Roman"/>
          <w:sz w:val="20"/>
          <w:szCs w:val="20"/>
        </w:rPr>
        <w:t xml:space="preserve">objęty ofertą i OPZ </w:t>
      </w:r>
      <w:r w:rsidRPr="00E61811">
        <w:rPr>
          <w:rFonts w:ascii="Times New Roman" w:hAnsi="Times New Roman" w:cs="Times New Roman"/>
          <w:sz w:val="20"/>
          <w:szCs w:val="20"/>
        </w:rPr>
        <w:t>jest kompletny i będzie gotowy do użytkowania po uruchomieniu bezżadnych dodatkowych zakupów. Aparat oprócz spełnienia odpowiednich parametrów funkcjonalnych gwarantujebezpieczeństwo pacjentów i personelu medycznego oraz zapewnia wymagany poziom świadczonych usług medycznych.</w:t>
      </w:r>
    </w:p>
    <w:p w:rsidR="00491925" w:rsidRPr="00E61811" w:rsidRDefault="0049192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91925" w:rsidRPr="00E61811" w:rsidRDefault="0049192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A50BBB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 w:rsidRPr="00E61811"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491925" w:rsidRPr="00E61811" w:rsidRDefault="00A50BBB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 w:rsidRPr="00E61811"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491925" w:rsidRPr="00E61811" w:rsidRDefault="0049192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49192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91925" w:rsidRPr="00E61811" w:rsidRDefault="00491925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50334" w:rsidRPr="00E61811" w:rsidRDefault="00A50334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A50334" w:rsidRPr="00E61811" w:rsidSect="007F08B4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638" w:rsidRDefault="003A1638">
      <w:pPr>
        <w:spacing w:after="0" w:line="240" w:lineRule="auto"/>
      </w:pPr>
      <w:r>
        <w:separator/>
      </w:r>
    </w:p>
  </w:endnote>
  <w:endnote w:type="continuationSeparator" w:id="0">
    <w:p w:rsidR="003A1638" w:rsidRDefault="003A1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925" w:rsidRDefault="002930CB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 w:rsidR="00A50BBB"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CB191E" w:rsidRPr="00CB191E">
      <w:rPr>
        <w:noProof/>
        <w:sz w:val="20"/>
        <w:szCs w:val="20"/>
        <w:lang w:val="pl-PL"/>
      </w:rPr>
      <w:t>15</w:t>
    </w:r>
    <w:r>
      <w:rPr>
        <w:sz w:val="20"/>
        <w:szCs w:val="20"/>
      </w:rPr>
      <w:fldChar w:fldCharType="end"/>
    </w:r>
  </w:p>
  <w:p w:rsidR="00491925" w:rsidRDefault="004919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638" w:rsidRDefault="003A1638">
      <w:r>
        <w:separator/>
      </w:r>
    </w:p>
  </w:footnote>
  <w:footnote w:type="continuationSeparator" w:id="0">
    <w:p w:rsidR="003A1638" w:rsidRDefault="003A1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925" w:rsidRDefault="00491925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53E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0480E68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82DA50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7624E8A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7D0CD89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37F17BC"/>
    <w:multiLevelType w:val="multilevel"/>
    <w:tmpl w:val="DB1C634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31762"/>
    <w:multiLevelType w:val="multilevel"/>
    <w:tmpl w:val="FCDC24F8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B9E9B"/>
    <w:multiLevelType w:val="multilevel"/>
    <w:tmpl w:val="EEE4225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8" w15:restartNumberingAfterBreak="0">
    <w:nsid w:val="175C5420"/>
    <w:multiLevelType w:val="multilevel"/>
    <w:tmpl w:val="970E5E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D29D9"/>
    <w:multiLevelType w:val="multilevel"/>
    <w:tmpl w:val="5070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19E65AC"/>
    <w:multiLevelType w:val="multilevel"/>
    <w:tmpl w:val="CA64E6F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2471379D"/>
    <w:multiLevelType w:val="multilevel"/>
    <w:tmpl w:val="86E0A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280C93"/>
    <w:multiLevelType w:val="multilevel"/>
    <w:tmpl w:val="8F040984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622B84"/>
    <w:multiLevelType w:val="multilevel"/>
    <w:tmpl w:val="7F2E8D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43EE5"/>
    <w:multiLevelType w:val="multilevel"/>
    <w:tmpl w:val="A698B2D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02797"/>
    <w:multiLevelType w:val="multilevel"/>
    <w:tmpl w:val="6AD61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5770E"/>
    <w:multiLevelType w:val="multilevel"/>
    <w:tmpl w:val="CBC4B2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64A7501"/>
    <w:multiLevelType w:val="multilevel"/>
    <w:tmpl w:val="FB626B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7077E"/>
    <w:multiLevelType w:val="multilevel"/>
    <w:tmpl w:val="4A6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79C1221"/>
    <w:multiLevelType w:val="multilevel"/>
    <w:tmpl w:val="79F4FD24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20" w15:restartNumberingAfterBreak="0">
    <w:nsid w:val="38990B60"/>
    <w:multiLevelType w:val="multilevel"/>
    <w:tmpl w:val="C7EA0ECA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1" w15:restartNumberingAfterBreak="0">
    <w:nsid w:val="3B05745B"/>
    <w:multiLevelType w:val="multilevel"/>
    <w:tmpl w:val="DD8E0D4E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3C583AE7"/>
    <w:multiLevelType w:val="multilevel"/>
    <w:tmpl w:val="BD363D6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27707"/>
    <w:multiLevelType w:val="multilevel"/>
    <w:tmpl w:val="DB5E27C2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DD1D0E"/>
    <w:multiLevelType w:val="multilevel"/>
    <w:tmpl w:val="C644B1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C201F1C"/>
    <w:multiLevelType w:val="multilevel"/>
    <w:tmpl w:val="94203A4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A5C6A"/>
    <w:multiLevelType w:val="multilevel"/>
    <w:tmpl w:val="7E4A80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EB37AFB"/>
    <w:multiLevelType w:val="multilevel"/>
    <w:tmpl w:val="40186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D94AB3"/>
    <w:multiLevelType w:val="multilevel"/>
    <w:tmpl w:val="72EAE1C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FF4417"/>
    <w:multiLevelType w:val="multilevel"/>
    <w:tmpl w:val="57E8DB8C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30" w15:restartNumberingAfterBreak="0">
    <w:nsid w:val="55765ABF"/>
    <w:multiLevelType w:val="multilevel"/>
    <w:tmpl w:val="04E2C0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506605"/>
    <w:multiLevelType w:val="multilevel"/>
    <w:tmpl w:val="D772BF2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83D1B"/>
    <w:multiLevelType w:val="multilevel"/>
    <w:tmpl w:val="56F6A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DC4657"/>
    <w:multiLevelType w:val="multilevel"/>
    <w:tmpl w:val="10586B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7A7656"/>
    <w:multiLevelType w:val="multilevel"/>
    <w:tmpl w:val="5846E7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C63715A"/>
    <w:multiLevelType w:val="multilevel"/>
    <w:tmpl w:val="3794836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6" w15:restartNumberingAfterBreak="0">
    <w:nsid w:val="6E7B2E29"/>
    <w:multiLevelType w:val="multilevel"/>
    <w:tmpl w:val="A3EE673C"/>
    <w:lvl w:ilvl="0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B466D61"/>
    <w:multiLevelType w:val="multilevel"/>
    <w:tmpl w:val="080C01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DD5775"/>
    <w:multiLevelType w:val="multilevel"/>
    <w:tmpl w:val="380ED6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"/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32"/>
  </w:num>
  <w:num w:numId="7">
    <w:abstractNumId w:val="17"/>
  </w:num>
  <w:num w:numId="8">
    <w:abstractNumId w:val="15"/>
  </w:num>
  <w:num w:numId="9">
    <w:abstractNumId w:val="23"/>
  </w:num>
  <w:num w:numId="10">
    <w:abstractNumId w:val="28"/>
  </w:num>
  <w:num w:numId="11">
    <w:abstractNumId w:val="6"/>
  </w:num>
  <w:num w:numId="12">
    <w:abstractNumId w:val="14"/>
  </w:num>
  <w:num w:numId="13">
    <w:abstractNumId w:val="12"/>
  </w:num>
  <w:num w:numId="14">
    <w:abstractNumId w:val="25"/>
  </w:num>
  <w:num w:numId="15">
    <w:abstractNumId w:val="8"/>
  </w:num>
  <w:num w:numId="16">
    <w:abstractNumId w:val="30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34"/>
  </w:num>
  <w:num w:numId="21">
    <w:abstractNumId w:val="26"/>
  </w:num>
  <w:num w:numId="22">
    <w:abstractNumId w:val="24"/>
  </w:num>
  <w:num w:numId="23">
    <w:abstractNumId w:val="0"/>
  </w:num>
  <w:num w:numId="24">
    <w:abstractNumId w:val="1"/>
  </w:num>
  <w:num w:numId="25">
    <w:abstractNumId w:val="10"/>
  </w:num>
  <w:num w:numId="26">
    <w:abstractNumId w:val="19"/>
  </w:num>
  <w:num w:numId="27">
    <w:abstractNumId w:val="2"/>
  </w:num>
  <w:num w:numId="28">
    <w:abstractNumId w:val="22"/>
  </w:num>
  <w:num w:numId="29">
    <w:abstractNumId w:val="16"/>
  </w:num>
  <w:num w:numId="30">
    <w:abstractNumId w:val="18"/>
  </w:num>
  <w:num w:numId="31">
    <w:abstractNumId w:val="9"/>
  </w:num>
  <w:num w:numId="32">
    <w:abstractNumId w:val="21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7"/>
  </w:num>
  <w:num w:numId="35">
    <w:abstractNumId w:val="7"/>
  </w:num>
  <w:num w:numId="36">
    <w:abstractNumId w:val="29"/>
  </w:num>
  <w:num w:numId="37">
    <w:abstractNumId w:val="38"/>
  </w:num>
  <w:num w:numId="38">
    <w:abstractNumId w:val="20"/>
  </w:num>
  <w:num w:numId="39">
    <w:abstractNumId w:val="36"/>
  </w:num>
  <w:num w:numId="40">
    <w:abstractNumId w:val="37"/>
  </w:num>
  <w:num w:numId="41">
    <w:abstractNumId w:val="5"/>
  </w:num>
  <w:num w:numId="42">
    <w:abstractNumId w:val="33"/>
  </w:num>
  <w:num w:numId="43">
    <w:abstractNumId w:val="27"/>
  </w:num>
  <w:num w:numId="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925"/>
    <w:rsid w:val="000426C3"/>
    <w:rsid w:val="00091F15"/>
    <w:rsid w:val="001D5AA3"/>
    <w:rsid w:val="002930CB"/>
    <w:rsid w:val="002E5039"/>
    <w:rsid w:val="003A1638"/>
    <w:rsid w:val="003C0075"/>
    <w:rsid w:val="004730CC"/>
    <w:rsid w:val="004848BD"/>
    <w:rsid w:val="00491925"/>
    <w:rsid w:val="00501B5A"/>
    <w:rsid w:val="00573E78"/>
    <w:rsid w:val="005F0195"/>
    <w:rsid w:val="00647CBD"/>
    <w:rsid w:val="006C40B2"/>
    <w:rsid w:val="006F17DC"/>
    <w:rsid w:val="006F1A2C"/>
    <w:rsid w:val="00763FA0"/>
    <w:rsid w:val="007D268C"/>
    <w:rsid w:val="007F08B4"/>
    <w:rsid w:val="00824E64"/>
    <w:rsid w:val="00832B6E"/>
    <w:rsid w:val="008963FC"/>
    <w:rsid w:val="00A50334"/>
    <w:rsid w:val="00A50BBB"/>
    <w:rsid w:val="00AA2F76"/>
    <w:rsid w:val="00AE4A49"/>
    <w:rsid w:val="00AE62D1"/>
    <w:rsid w:val="00B53D7F"/>
    <w:rsid w:val="00BE5E7A"/>
    <w:rsid w:val="00C21C1B"/>
    <w:rsid w:val="00C33BD8"/>
    <w:rsid w:val="00C80E4F"/>
    <w:rsid w:val="00CB191E"/>
    <w:rsid w:val="00DA21AA"/>
    <w:rsid w:val="00DA397E"/>
    <w:rsid w:val="00DE1B9F"/>
    <w:rsid w:val="00E53710"/>
    <w:rsid w:val="00E61811"/>
    <w:rsid w:val="00F36839"/>
    <w:rsid w:val="00F54823"/>
    <w:rsid w:val="00F6717A"/>
    <w:rsid w:val="00FE7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B3A8E-887C-4288-9903-0C7861CF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8B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F08B4"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F08B4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F08B4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08B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F08B4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7F08B4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7F08B4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F08B4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F08B4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F08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F08B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F08B4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F08B4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F08B4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F08B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F08B4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F08B4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F08B4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F08B4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F08B4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F08B4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F08B4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sid w:val="007F08B4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7F08B4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7F08B4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7F08B4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7F08B4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7F08B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sid w:val="007F08B4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sid w:val="007F08B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sid w:val="007F08B4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08B4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08B4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08B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08B4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0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08B4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F08B4"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sid w:val="007F08B4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08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08B4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08B4"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sid w:val="007F08B4"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sid w:val="007F08B4"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sid w:val="007F08B4"/>
    <w:rPr>
      <w:i/>
      <w:iCs/>
    </w:rPr>
  </w:style>
  <w:style w:type="character" w:styleId="Pogrubienie">
    <w:name w:val="Strong"/>
    <w:qFormat/>
    <w:rsid w:val="007F08B4"/>
    <w:rPr>
      <w:b/>
      <w:bCs/>
    </w:rPr>
  </w:style>
  <w:style w:type="character" w:styleId="Odwoaniedelikatne">
    <w:name w:val="Subtle Reference"/>
    <w:basedOn w:val="Domylnaczcionkaakapitu"/>
    <w:uiPriority w:val="31"/>
    <w:qFormat/>
    <w:rsid w:val="007F08B4"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sid w:val="007F08B4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08B4"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  <w:rsid w:val="007F08B4"/>
  </w:style>
  <w:style w:type="paragraph" w:styleId="Stopka">
    <w:name w:val="footer"/>
    <w:basedOn w:val="Normalny"/>
    <w:link w:val="StopkaZnak"/>
    <w:uiPriority w:val="99"/>
    <w:unhideWhenUsed/>
    <w:rsid w:val="007F08B4"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  <w:rsid w:val="007F08B4"/>
  </w:style>
  <w:style w:type="paragraph" w:styleId="Legenda">
    <w:name w:val="caption"/>
    <w:basedOn w:val="Normalny"/>
    <w:next w:val="Normalny"/>
    <w:uiPriority w:val="35"/>
    <w:unhideWhenUsed/>
    <w:qFormat/>
    <w:rsid w:val="007F08B4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F08B4"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sid w:val="007F08B4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7F08B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F08B4"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sid w:val="007F08B4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7F08B4"/>
    <w:rPr>
      <w:vertAlign w:val="superscript"/>
    </w:rPr>
  </w:style>
  <w:style w:type="character" w:styleId="Hipercze">
    <w:name w:val="Hyperlink"/>
    <w:uiPriority w:val="99"/>
    <w:unhideWhenUsed/>
    <w:rsid w:val="007F08B4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7F08B4"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rsid w:val="007F08B4"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rsid w:val="007F08B4"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rsid w:val="007F08B4"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rsid w:val="007F08B4"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rsid w:val="007F08B4"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rsid w:val="007F08B4"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rsid w:val="007F08B4"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rsid w:val="007F08B4"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rsid w:val="007F08B4"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sid w:val="007F08B4"/>
    <w:rPr>
      <w:color w:val="666666"/>
    </w:rPr>
  </w:style>
  <w:style w:type="paragraph" w:styleId="Nagwekspisutreci">
    <w:name w:val="TOC Heading"/>
    <w:uiPriority w:val="39"/>
    <w:unhideWhenUsed/>
    <w:rsid w:val="007F08B4"/>
  </w:style>
  <w:style w:type="paragraph" w:styleId="Spisilustracji">
    <w:name w:val="table of figures"/>
    <w:basedOn w:val="Normalny"/>
    <w:next w:val="Normalny"/>
    <w:uiPriority w:val="99"/>
    <w:unhideWhenUsed/>
    <w:rsid w:val="007F08B4"/>
    <w:pPr>
      <w:spacing w:after="0"/>
    </w:pPr>
  </w:style>
  <w:style w:type="character" w:customStyle="1" w:styleId="StopkaZnak">
    <w:name w:val="Stopka Znak"/>
    <w:link w:val="Stopka"/>
    <w:uiPriority w:val="99"/>
    <w:rsid w:val="007F08B4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sid w:val="007F08B4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rsid w:val="007F08B4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sid w:val="007F08B4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rsid w:val="007F08B4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F08B4"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F08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7F08B4"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F08B4"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sid w:val="007F08B4"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8B4"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sid w:val="007F08B4"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rsid w:val="007F08B4"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rsid w:val="007F08B4"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sid w:val="007F08B4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7F08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F08B4"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sid w:val="007F08B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08B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F08B4"/>
    <w:rPr>
      <w:b/>
      <w:bCs/>
      <w:lang w:eastAsia="en-US"/>
    </w:rPr>
  </w:style>
  <w:style w:type="paragraph" w:customStyle="1" w:styleId="Default">
    <w:name w:val="Default"/>
    <w:rsid w:val="007F08B4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sid w:val="007F08B4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sid w:val="007F08B4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rsid w:val="007F08B4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sid w:val="007F08B4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rsid w:val="007F08B4"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rsid w:val="007F08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sid w:val="007F08B4"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7F08B4"/>
    <w:rPr>
      <w:lang w:eastAsia="en-US"/>
    </w:rPr>
  </w:style>
  <w:style w:type="character" w:customStyle="1" w:styleId="Domylnaczcionkaakapitu1">
    <w:name w:val="Domyślna czcionka akapitu1"/>
    <w:rsid w:val="007F08B4"/>
  </w:style>
  <w:style w:type="paragraph" w:customStyle="1" w:styleId="Standard">
    <w:name w:val="Standard"/>
    <w:rsid w:val="007F08B4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4525</Words>
  <Characters>27150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2</cp:revision>
  <cp:lastPrinted>2026-08-31T12:11:00Z</cp:lastPrinted>
  <dcterms:created xsi:type="dcterms:W3CDTF">2026-09-25T10:12:00Z</dcterms:created>
  <dcterms:modified xsi:type="dcterms:W3CDTF">2026-09-25T10:12:00Z</dcterms:modified>
  <cp:version>786432</cp:version>
</cp:coreProperties>
</file>