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007" w:rsidRDefault="001510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034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347"/>
      </w:tblGrid>
      <w:tr w:rsidR="00151007">
        <w:trPr>
          <w:cantSplit/>
          <w:trHeight w:val="275"/>
          <w:tblHeader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A85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Załącznik nr 2.2</w:t>
            </w:r>
            <w:r w:rsidR="00F92D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 SWZ, …..-………………/26/………….. </w:t>
            </w:r>
          </w:p>
        </w:tc>
      </w:tr>
      <w:tr w:rsidR="00151007">
        <w:trPr>
          <w:cantSplit/>
          <w:trHeight w:val="260"/>
          <w:tblHeader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ZESTAWIENIE PARAMETRÓW / SPECYFIKACJA TECHNICZNA</w:t>
            </w:r>
          </w:p>
        </w:tc>
      </w:tr>
      <w:tr w:rsidR="00151007">
        <w:trPr>
          <w:cantSplit/>
          <w:trHeight w:val="285"/>
          <w:tblHeader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Przedmiot zamówienia:  </w:t>
            </w:r>
          </w:p>
          <w:p w:rsidR="00151007" w:rsidRDefault="00C54C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bookmarkStart w:id="0" w:name="_63x4r3fbzzu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bookmarkStart w:id="1" w:name="_GoBack"/>
            <w:bookmarkEnd w:id="1"/>
            <w:r w:rsidR="00F92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 Dostawa systemu monitorowania pacjentów pooperacyjnych na 14 łóżek – 1 system z 2 centralami nadzoru na Oddział Anestezjologii.</w:t>
            </w:r>
          </w:p>
        </w:tc>
      </w:tr>
      <w:tr w:rsidR="00151007">
        <w:trPr>
          <w:cantSplit/>
          <w:trHeight w:val="2873"/>
          <w:tblHeader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 Wykonawcy:                                                 …………………………………………………………………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Producent:                                                                 …………………………………………………………………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Oferowany model/typ/numer katalogowy:            ………………………………………………………………...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Rok produkcji (nie starszy niż 2026):                     …………………………………………………………………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Kraj pochodzenia:                                                     .................................................................</w:t>
            </w:r>
          </w:p>
        </w:tc>
      </w:tr>
    </w:tbl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10348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4035"/>
        <w:gridCol w:w="1843"/>
        <w:gridCol w:w="3827"/>
      </w:tblGrid>
      <w:tr w:rsidR="00151007">
        <w:trPr>
          <w:cantSplit/>
          <w:trHeight w:val="123"/>
          <w:tblHeader/>
        </w:trPr>
        <w:tc>
          <w:tcPr>
            <w:tcW w:w="643" w:type="dxa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I</w:t>
            </w:r>
          </w:p>
        </w:tc>
        <w:tc>
          <w:tcPr>
            <w:tcW w:w="4035" w:type="dxa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OPIS PRZEDMIOTU ZAMÓWIENIA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PARAMETR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WYMAGANY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PARAMETR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OFEROWANY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(wypełnia Wykonawca)</w:t>
            </w:r>
          </w:p>
        </w:tc>
      </w:tr>
      <w:tr w:rsidR="00151007">
        <w:trPr>
          <w:cantSplit/>
          <w:trHeight w:val="879"/>
          <w:tblHeader/>
        </w:trPr>
        <w:tc>
          <w:tcPr>
            <w:tcW w:w="10348" w:type="dxa"/>
            <w:gridSpan w:val="4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Dostawa systemu monitorowania pacjentów pooperacyjnych na 14 łóżek – 1 system z 2 centralami nadzoru Oddział Anestezjologii.</w:t>
            </w:r>
          </w:p>
        </w:tc>
      </w:tr>
      <w:tr w:rsidR="00151007">
        <w:trPr>
          <w:cantSplit/>
          <w:trHeight w:val="849"/>
          <w:tblHeader/>
        </w:trPr>
        <w:tc>
          <w:tcPr>
            <w:tcW w:w="10348" w:type="dxa"/>
            <w:gridSpan w:val="4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KARDIOMONITOR - WYMAGANIA OGÓLNE DLA CAŁEGO SYSTEMU - 20 SZT.</w:t>
            </w: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Przedmiot zamówienia obejmuje kompletny system monitorowania pacjentów: 14 kardiomonitorów dla Sali Pooperacyjnej / Sali Wybudzeń, 6 kardiomonitorów dla Sal Operacyjnych, 20 modułów transportowych, 2 centrale monitorujące, akcesoria, mocowania, licencje, integrację, instalację, uruchomienie i szkolenie. Przedmiot zamówienia jest kolejnym elementem budowy Systemu Informacji Klinicznej Zamawiającego. 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Wszystkie urządzenia fabrycznie nowe, nieużywane, kompletne, gotowe do pracy klinicznej po odbiorze końcowym, bez konieczności dokupowania dodatkowych licencji, modułów, przewodów, adapterów lub akcesoriów wymaganych do realizacji funkcji opisanych w OPZ.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Rok produkcji urządzeń nie starszy niż 2026.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oraz jego elementy muszą być dopuszczone do obrotu i używania jako wyroby medyczne oraz posiadać oznakowanie CE, o ile dotyczy danego elementu.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Wszystkie elementy systemu muszą spełniać wymagania właściwych norm bezpieczeństwa dla medycznych urządzeń elektrycznych, w szczególności w zakresie bezpieczeństwa użytkowania i kompatybilności elektromagnetycznej, jeżeli mają zastosowanie do zaoferowanego rozwiązania.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musi umożliwiać monitorowanie pacjentów dorosłych, a w zakresie wynikającym z zaoferowanych akcesoriów również pacjentów pediatrycznych, jeżeli Zamawiający wymaga takiego zastosowania.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grupy pacjentów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Menu użytkownika, komunikaty alarmowe i instrukcja obsługi w języku polskim.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musi umożliwiać pracę wszystkich 20 kardiomonitorów w systemie centralnego monitorowania oraz przekazywanie do central wartości liczbowych, krzywych, trendów i alarmów.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musi umożliwiać rozbudowę o kolejne kardiomonitory, stanowiska centralnego nadzoru lub moduły pomiarowe bez wymiany całej architektury systemu.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poda producenta, model/typ, numer katalogowy oraz konfigurację zaoferowanego systemu.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649"/>
          <w:tblHeader/>
        </w:trPr>
        <w:tc>
          <w:tcPr>
            <w:tcW w:w="10348" w:type="dxa"/>
            <w:gridSpan w:val="4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KARDIOMONITOR - SALA POOPERACYJNA / SALA WYBUDZEŃ - 14 SZT.</w:t>
            </w: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Kardiomonitor przyłóżkowy/modułowy z kolorowym ekranem dotykowym o przekątnej min. 15 cali, umożliwiający czytelną prezentację krzywych dynamicznych, wartości liczbowych, trendów i alarmów.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przekątną i rozdzielczość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Ekran monitora o rozdzielczości zapewniającej czytelną prezentację danych pacjenta; dopuszcza się rozwiązania równoważne funkcjonalnie w zakresie ergonomii prezentacji danych.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Obsługa za pomocą ekranu dotykowego i/lub elementów sterujących umożliwiających bezpieczną obsługę w środowisku klinicznym.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Obudowa łatwa do czyszczenia i dezynfekcji, odporna na środki dezynfekcyjne stosowane w podmiotach leczniczych; stopień ochrony jednostki głównej co najmniej IPX1 lub równoważny.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stopień ochrony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Konstrukcja ograniczająca gromadzenie zabrudzeń i ułatwiająca utrzymanie reżimu sanitarnego; chłodzenie konwekcyjne albo inne rozwiązanie producenta dopuszczone do stosowania w środowisku medycznym.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Zasilanie sieciowe 230 V / 50 Hz oraz awaryjne zasilanie akumulatorowe jednostki głównej i/lub modułu transportowego zapewniające ciągłość monitorowania podczas zaniku zasilania.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czas pracy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Monitorowanie EKG/HR: minimum 3/5 odprowadzeń EKG, pomiar HR, alarmy wartości granicznych, wykrywanie podstawowych zaburzeń rytmu, co najmniej asystolii, bradykardii, tachykardii i migotania komór.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zakres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Analiza arytmii oraz zapis zdarzeń arytmicznych i alarmowych do późniejszego przeglądu.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Pomiar SpO2 i tętna obwodowego z technologią odporną na artefakty ruchowe i niską perfuzję; Wykonawca poda zastosowaną technologię i kompatybilne czujniki.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technologię i zakres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Nieinwazyjny pomiar ciśnienia NIBP z trybem ręcznym i automatycznym, programowanymi odstępami pomiarów, alarmami oraz zabezpieczeniem przed nadmiernym ciśnieniem w mankiecie.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zakres i tryby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Pomiar oddechu/RESP, w tym alarm bezdechu z możliwością konfiguracji opóźnienia alarmu.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zakres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Pomiar temperatury - minimum 2 kanały pomiarowe w monitorze, module transportowym lub module pomiarowym.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liczbę kanałów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inwazyjnego pomiaru ciśnienia IBP: minimum 2 kanały pomiarowe. Wyposażenie IBP wymagane co najmniej dla 6 monitorów operacyjnych; dla monitorów pooperacyjnych dopuszcza się realizację jako funkcję dostępną w monitorze, module transportowym lub module pomiarowym, zgodnie z konfiguracją zaoferowaną przez Wykonawcę.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zakres i liczbę kanałów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rozbudowy lub wyposażenia w pomiar CO2 metodą bocznego lub głównego strumienia albo rozwiązaniem równoważnym. Wykonawca poda, dla ilu monitorów zaoferowano tę funkcję oraz czy wymaga ona dodatkowych akcesoriów lub licencji.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zakres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Trendy tabelaryczne i graficzne dla monitorowanych parametrów oraz lokalny i/lub centralny zapis zdarzeń alarmowych.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czas zapisu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Komplet akcesoriów dla każdego stanowiska, w tym co najmniej: przewód EKG, czujnik/przewód SpO2, przewód NIBP, mankiety w min. 3 rozmiarach, czujniki temperatury, akcesoria IBP zgodnie z konfiguracją oraz inne elementy wymagane do pracy klinicznej.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wyszczególnić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634"/>
          <w:tblHeader/>
        </w:trPr>
        <w:tc>
          <w:tcPr>
            <w:tcW w:w="10348" w:type="dxa"/>
            <w:gridSpan w:val="4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KARDIOMONITOR - SALE OPERACYJNE / STANOWISKA ANESTEZJOLOGICZNE - 6 SZT.</w:t>
            </w: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Kardiomonitor dla sal operacyjnych musi spełniać wszystkie wymagania dla konfiguracji pooperacyjnej, o ile poniżej nie wskazano wymagań rozszerzonych.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Ekran dotykowy kolorowy o przekątnej min. 15 cali, umożliwiający jednoczesną prezentację wielu krzywych, wartości liczbowych, trendów i alarmów w warunkach sali operacyjnej.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Każdy monitor operacyjny musi być wyposażony w odłączany moduł transportowy zgodny z wymaganiami sekcji „Moduł transportowy - 20 szt.”.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30.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Inwazyjny pomiar ciśnienia IBP - minimum 2 kanały pomiarowe wraz z kompletem przewodów/adapterów niezbędnych do uruchomienia pomiaru.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Monitorowanie głębokości znieczulenia w oparciu o analizę sygnału EEG, np. BIS lub rozwiązanie równoważne, wraz z modułem i wyposażeniem startowym wymaganym do uruchomienia.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rozwiązanie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Monitorowanie przewodnictwa nerwowo-mięśniowego NMT/NMW lub rozwiązanie równoważne, wraz z modułem i wyposażeniem startowym wymaganym do uruchomienia.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rozwiązanie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monitorowania CO2 metodą bocznego i/lub głównego strumienia albo rozwiązaniem równoważnym, z podaniem konfiguracji zaoferowanej.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rozbudowy lub wyposażenia w dodatkowe parametry anestezjologiczne/hemodynamiczne, w szczególności: gazy anestetyczne, rSO2, EEG, C.O., ICG, zaawansowany pomiar hemodynamiczny - zgodnie z dokumentacją producenta.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Montaż przy stanowisku anestezjologicznym poprzez kompatybilne ramię, uchwyt, mocowanie do szyny, kolumny, aparatu do znieczulenia lub podstawę jezdną, bez wskazywania konkretnego producenta aparatu.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 sposób montażu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Akcesoria pomiarowe i przewody muszą być dobrane do pracy w obszarze bloku operacyjnego oraz nie mogą wymagać dodatkowych zakupów do uruchomienia wymaganych funkcji.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wyszczególnić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620"/>
          <w:tblHeader/>
        </w:trPr>
        <w:tc>
          <w:tcPr>
            <w:tcW w:w="10348" w:type="dxa"/>
            <w:gridSpan w:val="4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MODUŁ TRANSPORTOWY - 20 SZT.</w:t>
            </w: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Każdy z 20 kardiomonitorów musi być wyposażony w odłączany moduł transportowy kompatybilny z zaoferowanym systemem.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Moduł transportowy musi umożliwiać monitorowanie pacjenta podczas transportu bez konieczności przepinania podstawowych czujników i przewodów pomiarowych.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Ekran modułu transportowego: kolorowy, dotykowy, przekątna min. 5 cali, rozdzielczość min. 1280 x 720 pikseli albo rozwiązanie równoważne zapewniające czytelną prezentację parametrów.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przekątną i rozdzielczość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Zasilanie akumulatorowe modułu transportowego: minimum 10 godzin ciągłej pracy. 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czas pracy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Parametry dostępne w module transportowym lub podczas transportu pacjenta: co najmniej EKG/HR, SpO2, NIBP, RESP, TEMP x 2; IBP x 2 w module transportowym lub kompatybilnym module pomiarowym – zgodnie z konfiguracją wymaganą dla danego stanowiska.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Pamięć trendów, pomiarów i zdarzeń dostępna w module transportowym i/lub systemie centralnym: minimum 168 godzin. Możliwość zapisu minimum 240 godzin przy rozdzielczości 1 min, minimum 1200 pomiarów i minimum 1000 zdarzeń może stanowić parametr oceniany.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Rejestracja zdarzeń obejmująca co najmniej alarmy i zdarzenia arytmiczne, z możliwością późniejszego przeglądu.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Stopień ochrony modułu transportowego minimum IP44 lub równoważny, potwierdzony dokumentacją producenta.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Wbudowany uchwyt transportowy umożliwiający bezpieczne przenoszenie modułu.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Komunikacja z centralą i/lub systemem monitorowania poprzez sieć przewodową i/lub bezprzewodową; jeżeli zaoferowano Wi-Fi, obsługa pasma 2,4 GHz i 5 GHz albo rozwiązanie zgodne z infrastrukturą Zamawiającego.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Masa modułu transportowego z akumulatorem umożliwiająca bezpieczne przenoszenie przez personel; zalecana masa nie większa niż 1,6 kg. Wykonawca poda masę modułu oraz masę zestawu z podstawowymi przewodami.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masę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624"/>
          <w:tblHeader/>
        </w:trPr>
        <w:tc>
          <w:tcPr>
            <w:tcW w:w="10348" w:type="dxa"/>
            <w:gridSpan w:val="4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CENTRALA MONITORUJĄCA / SYSTEM CENTRALNEGO NADZORU - 2 SZT.</w:t>
            </w: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Dwie centrale monitorujące / dwa stanowiska centralnego nadzoru z licencjami umożliwiającymi jednoczesny nadzór nad wszystkimi 20 kardiomonitorami objętymi zamówieniem.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rozbudowy systemu ponad zakres zamówienia bez wymiany centralnego systemu monitorującego do co najmniej 128 urządzeń telemetrycznych, a Wykonawca poda maksymalną liczbę stanowisk możliwych do obsługi po rozbudowie.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Prezentacja danych pacjentów w postaci krzywych dynamicznych, wartości liczbowych, trendów graficznych i tabelarycznych oraz alarmów.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Jednoczesna obserwacja wszystkich aktywnych stanowisk oraz możliwość wyboru zakresu parametrów i krzywych prezentowanych dla każdego pacjenta.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Obsługa alarmów dźwiękowych i wizualnych, priorytetyzacja alarmów, historia alarmów oraz możliwość przeglądu zdarzeń alarmowych.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Przyjmowanie i wypisywanie pacjenta, edycja danych demograficznych, obsługa polskich znaków.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zdalnego uruchamiania i zatrzymywania pomiarów NIBP z poziomu centrali, jeżeli funkcja jest dopuszczona przez producenta zaoferowanego systemu. Wykonawca opisze sposób realizacji albo wskaże równoważny sposób obsługi pomiarów.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zdalnej zmiany limitów alarmowych z poziomu centrali, jeżeli funkcja jest dopuszczona przez producenta zaoferowanego systemu. Wykonawca opisze sposób realizacji albo wskaże równoważny sposób zarządzania limitami alarmowymi.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Archiwizacja trendów, zdarzeń alarmowych i zapisów falowych co najmniej 7 dni, z możliwością przeglądania wstecz na ekranie centrali.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czas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Funkcja pełnego lub rozszerzonego zapisu krzywych dynamicznych typu fulldisclosure albo równoważna funkcja ciągłej archiwizacji przebiegów monitorowanych parametrów.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czas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 w:rsidTr="00DF1B66">
        <w:trPr>
          <w:cantSplit/>
          <w:trHeight w:val="1933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Stanowisko centralne obejmuje komputer/stację roboczą, monitor lub monitory umożliwiające czytelny podgląd wszystkich stanowisk, klawiaturę, mysz, UPS oraz drukarkę, jeżeli drukowanie raportów nie jest realizowane innym równoważnym sposobem.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 konfigurację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Monitor stanowiska centralnego: minimum 24 cale albo zestaw monitorów równoważny funkcjonalnie; konfiguracja musi umożliwiać komfortowy podgląd wszystkich stanowisk.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 w:rsidTr="00DF1B66">
        <w:trPr>
          <w:cantSplit/>
          <w:trHeight w:val="843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generowania i wydruku lub eksportu raportów z monitorowania, trendów i zdarzeń.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649"/>
          <w:tblHeader/>
        </w:trPr>
        <w:tc>
          <w:tcPr>
            <w:tcW w:w="10348" w:type="dxa"/>
            <w:gridSpan w:val="4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bookmarkStart w:id="2" w:name="_vsi7mzkugaq8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INTEGRACJA, KOMUNIKACJA I BEZPIECZEŃSTWO DANYCH</w:t>
            </w: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musi zostać skonfigurowany i zintegrowany z infrastrukturą informatyczną Zamawiającego w zakresie: - wszystkie zaoferowane urządzenia (centrale, monitory oraz moduły transportowe) muszą być zintegrowane z używanym przez Zamawiającego systemem Elektronicznej Dokumentacji Medycznej – EKZ Firmy TDZ Technika Dla Zdrowia.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4756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Integracja w zakresie przesyłania komunikatów ADT (dane pacjentów) z systemu EKZ (lub HIS) do urządzeń.</w:t>
            </w:r>
            <w:r w:rsidR="00DF1B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Wymagana integracja z posiadanym przez Zamawiającego systemem Elektronicznej Karty Znieczuleń (moduł EKZ funkcjonujący na salach operacyjnych oraz moduł CMU funkcjonujący na sali wybudzeń) w zakresie przesyłania parametrów życiowych z urządzeń do systemu EKZ. W cenie oferty należy uwzględnić niezbędne licencje, sterowniki, aktualizacje oraz konfiguracje systemu Elektronicznej Karty Znieczuleń. Celem zamawiającego jest utrzymanie ciągłości oraz kompletności dokumentacji anestezjologicznej w systemie EKZ i szpitalnym systemie medycznym AMMS.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 zakres i interfejs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Komunikacja z systemami szpitalnymi w standardzie HL7, API, DICOM, protokołem producenta lub innym uzgodnionym standardzie integracyjnym, zapewniającym wymagany efekt funkcjonalny.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 standard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Wszystkie licencje integracyjne, interfejsy, konfiguracje i prace wdrożeniowe po stronie zaoferowanego systemu oraz po stronie systemu Elektronicznej Karty Znieczuleń muszą być ujęte w cenie oferty.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zobowiązany jest do współpracy z dostawcami systemów informatycznych Zamawiającego w zakresie koniecznym do wykonania integracji.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przekaże dokumentację integracji, w tym opis interfejsów, zakres przesyłanych danych, wyniki testów i protokół odbioru integracji.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musi umożliwiać zarządzanie użytkownikami, hasłami i uprawnieniami albo integrację z mechanizmem zarządzania dostępem wskazanym przez Zamawiającego.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musi wskazać kategorie danych osobowych przetwarzanych przez system oraz środki bezpieczeństwa organizacyjne i techniczne właściwe dla danych medycznych.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562"/>
          <w:tblHeader/>
        </w:trPr>
        <w:tc>
          <w:tcPr>
            <w:tcW w:w="10348" w:type="dxa"/>
            <w:gridSpan w:val="4"/>
            <w:shd w:val="clear" w:color="auto" w:fill="D9D9D9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AKCESORIA, MONTAŻ, INSTALACJA, SZKOLENIE I DOKUMENTACJA</w:t>
            </w: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dostarczy komplet akcesoriów wymaganych do uruchomienia monitorowania na każdym stanowisku, w liczbie zgodnej z liczbą monitorów i konfiguracją kliniczną.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wyszczególnić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Dla każdego monitora należy dostarczyć co najmniej: przewód EKG, czujnik/przewód SpO2, przewód NIBP, mankiety NIBP w różnych rozmiarach, przewody i czujniki temperatury zgodnie z liczbą kanałów oraz inne akcesoria wymagane do pracy. Akcesoria IBP należy dostarczyć dla monitorów, dla których IBP jest wymagane w konfiguracji.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wyszczególnić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Dla monitorów sal operacyjnych należy dostarczyć moduły i akcesoria dla IBP, monitorowania głębokości znieczulenia i monitorowania przewodnictwa nerwowo-mięśniowego, zgodnie z wymaganiami OPZ.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wyszczególnić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dostarczy uchwyty, ramiona, mocowania ścienne, mocowania do szyn, kolumn, stanowisk anestezjologicznych albo podstawy jezdne zgodnie z rzeczywistym miejscem instalacji wskazanym przez Zamawiającego.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opisać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Transport, rozładunek, wniesienie, ustawienie, montaż, instalacja i uruchomienie w miejscu wskazanym przez Zamawiającego odbywają się na koszt i ryzyko Wykonawcy.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przed dostawą przekaże wymagania instalacyjne, elektryczne, sieciowe, montażowe i środowiskowe konieczne do przygotowania pomieszczeń.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Warunkiem odbioru jest pozytywny wynik testów działania, testów alarmów, komunikacji z centralą, działania modułów transportowych oraz integracji IT w zakresie objętym zamówieniem.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</w:t>
            </w:r>
          </w:p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przeprowadzi szkolenie personelu medycznego z obsługi monitorów, modułów transportowych, central, alarmów, trendów, przyjęcia/wypisu pacjenta i podstawowej eksploatacji.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przeprowadzi szkolenie personelu technicznego i informatycznego z podstawowej eksploatacji, konfiguracji, zgłaszania awarii, obsługi kont użytkowników i zasad integracji.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51007">
        <w:trPr>
          <w:cantSplit/>
          <w:trHeight w:val="204"/>
          <w:tblHeader/>
        </w:trPr>
        <w:tc>
          <w:tcPr>
            <w:tcW w:w="6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4035" w:type="dxa"/>
            <w:shd w:val="clear" w:color="auto" w:fill="FFFFFF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przekaże instrukcje obsługi w języku polskim, deklaracje zgodności, certyfikaty CE jeżeli dotyczy, paszporty techniczne, karty gwarancyjne, wykaz wyposażenia, wykaz licencji, wykaz wymaganych przeglądów producenta oraz protokoły instalacji, uruchomienia, testów i szkoleń.</w:t>
            </w:r>
          </w:p>
        </w:tc>
        <w:tc>
          <w:tcPr>
            <w:tcW w:w="1843" w:type="dxa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3827" w:type="dxa"/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Wskazane parametry należy potwierdzić w załączonym katalogu sprzętu, karcie katalogowej, instrukcji obsługi, dokumentacji producenta lub oświadczeniu producenta/dystrybutora.</w:t>
      </w: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Uwaga: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kolumnie „PARAMETR OFEROWANY” należy wpisać „Tak” oraz potwierdzić spełnienie warunków. </w:t>
      </w: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systemu z art. 25 RODO oraz do precyzyjnego określenia przedmiotu przetwarzania w umowie powierzenia.</w:t>
      </w: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Tabela nr 1 Wykaz kategorii danych osobowych dla przedmiotu zamówienia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1"/>
        <w:tblW w:w="1063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3969"/>
        <w:gridCol w:w="4145"/>
      </w:tblGrid>
      <w:tr w:rsidR="00151007">
        <w:trPr>
          <w:cantSplit/>
          <w:trHeight w:val="410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Kategoria osób, których dane dotyczą 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Kategorie danych osobowych</w:t>
            </w:r>
          </w:p>
        </w:tc>
      </w:tr>
      <w:tr w:rsidR="00151007">
        <w:trPr>
          <w:cantSplit/>
          <w:trHeight w:val="1306"/>
          <w:tblHeader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monitorowania pacjentów - konta użytkowników, uprawnienia, logi systemowe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Nazwa / model / typ / numer katalogowy: ………………………………………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Pacjentów, w tym dzieci, na rzecz których udzielane są świadczenia zdrowotne, w zakresie danych zwykłych oraz danych szczególnych kategorii.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Dane zwykłe: imię, nazwisko, nr PESEL, data urodzenia, płeć, numer identyfikacyjny pacjenta oraz inne dane identyfikacyjne przekazywane z systemów Zamawiającego.</w:t>
            </w:r>
          </w:p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Dane szczególnych kategorii: dane o stanie zdrowia, parametry życiowe, trendy, alarmy, zdarzenia arytmiczne, dane z dokumentacji anestezjologicznej, jeżeli są przetwarzane przez system.</w:t>
            </w:r>
          </w:p>
        </w:tc>
      </w:tr>
      <w:tr w:rsidR="00151007">
        <w:trPr>
          <w:cantSplit/>
          <w:trHeight w:val="1398"/>
          <w:tblHeader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Pracowników i osób zatrudnionych przez Zamawiającego na innej niż umowa o pracę podstawie prawnej, w zakresie danych zwykłych.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Dane zwykłe: imię i nazwisko, stanowisko, numer prawa wykonywania zawodu, identyfikator użytkownika/login, rola systemowa, historia logowania, historia wykonanych operacji, podpis elektroniczny lub identyfikator użytkownika, jeżeli dotyczy.</w:t>
            </w:r>
          </w:p>
        </w:tc>
      </w:tr>
    </w:tbl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2"/>
        <w:tblW w:w="99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9"/>
      </w:tblGrid>
      <w:tr w:rsidR="00151007">
        <w:trPr>
          <w:cantSplit/>
          <w:trHeight w:val="279"/>
          <w:tblHeader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II  POZOSTAŁE WYMAGANIA / WARUNKI UDZIAŁU W ZAMÓWIENIU</w:t>
            </w:r>
          </w:p>
        </w:tc>
      </w:tr>
      <w:tr w:rsidR="00151007">
        <w:trPr>
          <w:cantSplit/>
          <w:trHeight w:val="289"/>
          <w:tblHeader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Przedmiot zamówienia: 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Dostawa systemu monitorowania pacjentów pooperacyjnych na 14 łóżek – 1 system z 2 centralami nadzoru Oddział Anestezjologii.</w:t>
            </w:r>
          </w:p>
        </w:tc>
      </w:tr>
    </w:tbl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3"/>
        <w:tblW w:w="993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723"/>
        <w:gridCol w:w="5524"/>
        <w:gridCol w:w="1558"/>
        <w:gridCol w:w="2125"/>
      </w:tblGrid>
      <w:tr w:rsidR="0015100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II.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PARAMETR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WYMAGANY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PARAMETR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OFEROWANY</w:t>
            </w:r>
          </w:p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(wypełnia Wykonawca)</w:t>
            </w:r>
          </w:p>
        </w:tc>
      </w:tr>
      <w:tr w:rsidR="0015100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 w:rsidP="00DF1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Termin gwarancji przedmiotu zamówienia minimum 24 miesiące liczony od daty podpisania bez zastrzeżeń Protokołu zdawczo-odbiorczego.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5100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 w:rsidP="00DF1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Czas reakcji* serwisu technicznego na zgłoszone wady i usterki systemu: maksymalnie 24 godziny od momentu zgłoszenia, zgodnie z definicją czasu reakcji wskazaną pod tabelą.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5100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 w:rsidP="00DF1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Czas usunięcia wad i usterek systemu: maksymalnie 7 dni roboczych od dnia zgłoszenia, z wyjątkiem przypadków wymagających sprowadzenia części zamiennych; w takim przypadku Wykonawca przedstawi pisemne uzasadnienie oraz przewidywany termin naprawy.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5100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 w:rsidP="00DF1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 okresie gwarancji Wykonawca zapewnia bezpłatne przeglądy okresowe wymagane przez producenta, robociznę, dojazd, diagnostykę, części zamienne oraz aktualizacje oprogramowania wymagane dla prawidłowej i bezpiecznej pracy systemu.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5100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 w:rsidP="00DF1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zapewni dostępność części zamiennych oraz kompatybilnych akcesoriów/materiałów eksploatacyjnych, jeżeli są wymagane do pracy systemu, przez minimum 8 lat od daty odbioru końcowego, o ile producent nie deklaruje dłuższego okresu.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5100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 w:rsidP="00DF1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zapewni serwis prowadzony przez osoby posiadające kwalifikacje i uprawnienia właściwe dla zaoferowanego systemu, potwierdzone dokumentacją producenta, autoryzacją lub równoważnym dokumentem.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potwierdzić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5100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 w:rsidP="00DF1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Urządzenia, moduły, przewody i akcesoria przeznaczone do czyszczenia, dezynfekcji albo sterylizacji muszą mieć określoną przez producenta metodę dekontaminacji. Jeżeli element wymaga demontażu przed dekontaminacją, Wykonawca przeszkoli personel Zamawiającego w tym zakresie.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5100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 w:rsidP="00DF1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przekaże harmonogram przeglądów, czynności konserwacyjnych, kalibracji i kontroli wymaganych przez producenta w okresie gwarancji i po jej zakończeniu.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F9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007" w:rsidRDefault="00151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(*) Przez „czas reakcji” należy rozumieć czas, w którym serwis po otrzymaniu zgłoszenia potwierdzi jego przyjęcie i rozpocznie obsługę zgłoszenia, zgodnie z warunkami umowy.</w:t>
      </w: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Forma obsługi może obejmować diagnostykę zdalną, telefoniczną lub przyjazd serwisu, jeżeli jest wymagany.</w:t>
      </w: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Oświadczam, że oferowany powyżej system jest kompletny i będzie gotowy do użytkowania po uruchomieniu bez</w:t>
      </w: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ponoszenia dodatkowych nakładów finansowych. System oprócz spełnienia odpowiednich parametrów funkcjonalnych gwarantuje</w:t>
      </w:r>
      <w:r w:rsidR="00DF1B6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bezpieczeństwo pacjentów i personelu medycznego oraz zapewnia wymagany poziom świadczonych usług medycznych.</w:t>
      </w: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…............................……………….          ...............................................................................……….</w:t>
      </w:r>
    </w:p>
    <w:p w:rsidR="00151007" w:rsidRDefault="00F9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(miejscowość i data)                                                                      (podpis upoważnionego przedstawiciela Wykonawcy)</w:t>
      </w: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151007" w:rsidRDefault="001510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sectPr w:rsidR="00151007">
      <w:headerReference w:type="default" r:id="rId7"/>
      <w:footerReference w:type="default" r:id="rId8"/>
      <w:pgSz w:w="11906" w:h="16838"/>
      <w:pgMar w:top="764" w:right="720" w:bottom="764" w:left="720" w:header="0" w:footer="15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D80" w:rsidRDefault="00F92D80">
      <w:pPr>
        <w:spacing w:after="0" w:line="240" w:lineRule="auto"/>
      </w:pPr>
      <w:r>
        <w:separator/>
      </w:r>
    </w:p>
  </w:endnote>
  <w:endnote w:type="continuationSeparator" w:id="0">
    <w:p w:rsidR="00F92D80" w:rsidRDefault="00F92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29E5B1AB-8FA0-4D86-BB4C-6E5A45A9654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E1924419-1A3B-4ED8-87BF-78CC1AAB1D9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9969FF66-8842-46F0-9FC7-50D96C785DD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21DFC3B-97C3-4EA8-B232-7A808FB92B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007" w:rsidRDefault="00F92D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MS Mincho" w:eastAsia="MS Mincho" w:hAnsi="MS Mincho" w:cs="MS Mincho"/>
        <w:color w:val="000000"/>
        <w:sz w:val="20"/>
        <w:szCs w:val="20"/>
      </w:rPr>
    </w:pPr>
    <w:r>
      <w:rPr>
        <w:rFonts w:ascii="MS Mincho" w:eastAsia="MS Mincho" w:hAnsi="MS Mincho" w:cs="MS Mincho"/>
        <w:color w:val="000000"/>
        <w:sz w:val="20"/>
        <w:szCs w:val="20"/>
      </w:rPr>
      <w:fldChar w:fldCharType="begin"/>
    </w:r>
    <w:r>
      <w:rPr>
        <w:rFonts w:ascii="MS Mincho" w:eastAsia="MS Mincho" w:hAnsi="MS Mincho" w:cs="MS Mincho"/>
        <w:color w:val="000000"/>
        <w:sz w:val="20"/>
        <w:szCs w:val="20"/>
      </w:rPr>
      <w:instrText>PAGE</w:instrText>
    </w:r>
    <w:r>
      <w:rPr>
        <w:rFonts w:ascii="MS Mincho" w:eastAsia="MS Mincho" w:hAnsi="MS Mincho" w:cs="MS Mincho"/>
        <w:color w:val="000000"/>
        <w:sz w:val="20"/>
        <w:szCs w:val="20"/>
      </w:rPr>
      <w:fldChar w:fldCharType="separate"/>
    </w:r>
    <w:r w:rsidR="00C54C90">
      <w:rPr>
        <w:rFonts w:ascii="MS Mincho" w:eastAsia="MS Mincho" w:hAnsi="MS Mincho" w:cs="MS Mincho"/>
        <w:noProof/>
        <w:color w:val="000000"/>
        <w:sz w:val="20"/>
        <w:szCs w:val="20"/>
      </w:rPr>
      <w:t>4</w:t>
    </w:r>
    <w:r>
      <w:rPr>
        <w:rFonts w:ascii="MS Mincho" w:eastAsia="MS Mincho" w:hAnsi="MS Mincho" w:cs="MS Mincho"/>
        <w:color w:val="000000"/>
        <w:sz w:val="20"/>
        <w:szCs w:val="20"/>
      </w:rPr>
      <w:fldChar w:fldCharType="end"/>
    </w:r>
  </w:p>
  <w:p w:rsidR="00151007" w:rsidRDefault="001510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S Mincho" w:eastAsia="MS Mincho" w:hAnsi="MS Mincho" w:cs="MS Mincho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D80" w:rsidRDefault="00F92D80">
      <w:pPr>
        <w:spacing w:after="0" w:line="240" w:lineRule="auto"/>
      </w:pPr>
      <w:r>
        <w:separator/>
      </w:r>
    </w:p>
  </w:footnote>
  <w:footnote w:type="continuationSeparator" w:id="0">
    <w:p w:rsidR="00F92D80" w:rsidRDefault="00F92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007" w:rsidRDefault="001510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b/>
        <w:bCs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ED324C"/>
    <w:multiLevelType w:val="multilevel"/>
    <w:tmpl w:val="963AA7B8"/>
    <w:lvl w:ilvl="0">
      <w:start w:val="1"/>
      <w:numFmt w:val="upperRoman"/>
      <w:lvlText w:val="%1."/>
      <w:lvlJc w:val="left"/>
      <w:pPr>
        <w:ind w:left="1080" w:hanging="7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007"/>
    <w:rsid w:val="00151007"/>
    <w:rsid w:val="00A8565C"/>
    <w:rsid w:val="00C54C90"/>
    <w:rsid w:val="00DF1B66"/>
    <w:rsid w:val="00F9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9F7686-562E-42A3-865A-B4BA0F17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Symbols" w:eastAsia="Noto Sans Symbols" w:hAnsi="Noto Sans Symbols" w:cs="Noto Sans Symbols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outlineLvl w:val="0"/>
    </w:pPr>
    <w:rPr>
      <w:rFonts w:ascii="MS Mincho" w:eastAsia="MS Mincho" w:hAnsi="MS Mincho" w:cs="MS Mincho"/>
      <w:b/>
      <w:bCs/>
      <w:color w:val="000000"/>
      <w:sz w:val="24"/>
      <w:szCs w:val="24"/>
    </w:rPr>
  </w:style>
  <w:style w:type="paragraph" w:styleId="Nagwek2">
    <w:name w:val="heading 2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4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C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3175</Words>
  <Characters>19054</Characters>
  <Application>Microsoft Office Word</Application>
  <DocSecurity>4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Tabaczyńska</dc:creator>
  <cp:lastModifiedBy>Tatiana Tabaczyńska</cp:lastModifiedBy>
  <cp:revision>2</cp:revision>
  <cp:lastPrinted>2026-10-02T10:34:00Z</cp:lastPrinted>
  <dcterms:created xsi:type="dcterms:W3CDTF">2026-10-02T10:34:00Z</dcterms:created>
  <dcterms:modified xsi:type="dcterms:W3CDTF">2026-10-02T10:34:00Z</dcterms:modified>
</cp:coreProperties>
</file>